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43FF8" w14:textId="675E7EE8" w:rsidR="006D27CB" w:rsidRPr="006D27CB" w:rsidRDefault="006D27CB" w:rsidP="003E0322">
      <w:pPr>
        <w:tabs>
          <w:tab w:val="left" w:pos="4253"/>
          <w:tab w:val="left" w:pos="4536"/>
        </w:tabs>
        <w:spacing w:after="0" w:line="240" w:lineRule="auto"/>
        <w:jc w:val="both"/>
        <w:rPr>
          <w:rFonts w:ascii="Arial" w:eastAsia="Times New Roman" w:hAnsi="Arial" w:cs="Times New Roman"/>
          <w:b/>
          <w:bCs/>
          <w:sz w:val="72"/>
          <w:szCs w:val="72"/>
          <w:lang w:eastAsia="sl-SI"/>
        </w:rPr>
      </w:pPr>
      <w:r>
        <w:rPr>
          <w:rFonts w:ascii="Arial" w:eastAsia="Times New Roman" w:hAnsi="Arial" w:cs="Times New Roman"/>
          <w:lang w:eastAsia="sl-SI"/>
        </w:rPr>
        <w:tab/>
      </w:r>
      <w:r>
        <w:rPr>
          <w:rFonts w:ascii="Arial" w:eastAsia="Times New Roman" w:hAnsi="Arial" w:cs="Times New Roman"/>
          <w:lang w:eastAsia="sl-SI"/>
        </w:rPr>
        <w:tab/>
      </w:r>
      <w:r>
        <w:rPr>
          <w:rFonts w:ascii="Arial" w:eastAsia="Times New Roman" w:hAnsi="Arial" w:cs="Times New Roman"/>
          <w:lang w:eastAsia="sl-SI"/>
        </w:rPr>
        <w:tab/>
      </w:r>
      <w:r>
        <w:rPr>
          <w:rFonts w:ascii="Arial" w:eastAsia="Times New Roman" w:hAnsi="Arial" w:cs="Times New Roman"/>
          <w:lang w:eastAsia="sl-SI"/>
        </w:rPr>
        <w:tab/>
      </w:r>
      <w:r>
        <w:rPr>
          <w:rFonts w:ascii="Arial" w:eastAsia="Times New Roman" w:hAnsi="Arial" w:cs="Times New Roman"/>
          <w:lang w:eastAsia="sl-SI"/>
        </w:rPr>
        <w:tab/>
      </w:r>
      <w:r>
        <w:rPr>
          <w:rFonts w:ascii="Arial" w:eastAsia="Times New Roman" w:hAnsi="Arial" w:cs="Times New Roman"/>
          <w:lang w:eastAsia="sl-SI"/>
        </w:rPr>
        <w:tab/>
      </w:r>
      <w:r w:rsidRPr="006D27CB">
        <w:rPr>
          <w:rFonts w:ascii="Arial" w:eastAsia="Times New Roman" w:hAnsi="Arial" w:cs="Times New Roman"/>
          <w:b/>
          <w:bCs/>
          <w:sz w:val="72"/>
          <w:szCs w:val="72"/>
          <w:lang w:eastAsia="sl-SI"/>
        </w:rPr>
        <w:t>18</w:t>
      </w:r>
    </w:p>
    <w:p w14:paraId="47C10F1F" w14:textId="6047938C" w:rsidR="003E0322" w:rsidRPr="00E30B3D" w:rsidRDefault="003E0322" w:rsidP="003E0322">
      <w:pPr>
        <w:tabs>
          <w:tab w:val="left" w:pos="4253"/>
          <w:tab w:val="left" w:pos="4536"/>
        </w:tabs>
        <w:spacing w:after="0" w:line="240" w:lineRule="auto"/>
        <w:jc w:val="both"/>
        <w:rPr>
          <w:rFonts w:ascii="Arial" w:eastAsia="Times New Roman" w:hAnsi="Arial" w:cs="Times New Roman"/>
          <w:b/>
          <w:bCs/>
          <w:sz w:val="72"/>
          <w:szCs w:val="72"/>
          <w:lang w:eastAsia="sl-SI"/>
        </w:rPr>
      </w:pPr>
      <w:r w:rsidRPr="00E30B3D">
        <w:rPr>
          <w:rFonts w:ascii="Arial" w:eastAsia="Times New Roman" w:hAnsi="Arial" w:cs="Times New Roman"/>
          <w:lang w:eastAsia="sl-SI"/>
        </w:rPr>
        <w:t xml:space="preserve">Na podlagi </w:t>
      </w:r>
      <w:r w:rsidRPr="00E30B3D">
        <w:rPr>
          <w:rFonts w:ascii="Arial" w:eastAsia="Times New Roman" w:hAnsi="Arial" w:cs="Times New Roman"/>
          <w:szCs w:val="24"/>
          <w:lang w:eastAsia="sl-SI"/>
        </w:rPr>
        <w:t xml:space="preserve">19. člena Statuta Mestne občine Nova Gorica (Uradni list RS, št. </w:t>
      </w:r>
      <w:bookmarkStart w:id="0" w:name="_Hlk174446003"/>
      <w:r w:rsidRPr="00E30B3D">
        <w:rPr>
          <w:rFonts w:ascii="Arial" w:eastAsia="Times New Roman" w:hAnsi="Arial" w:cs="Times New Roman"/>
          <w:szCs w:val="24"/>
          <w:lang w:eastAsia="sl-SI"/>
        </w:rPr>
        <w:t xml:space="preserve">13/12, </w:t>
      </w:r>
      <w:r w:rsidRPr="00E30B3D">
        <w:rPr>
          <w:rFonts w:ascii="Arial" w:eastAsia="Times New Roman" w:hAnsi="Arial" w:cs="Arial"/>
          <w:lang w:eastAsia="sl-SI"/>
        </w:rPr>
        <w:t>18/17 in 18/19</w:t>
      </w:r>
      <w:bookmarkEnd w:id="0"/>
      <w:r w:rsidRPr="00E30B3D">
        <w:rPr>
          <w:rFonts w:ascii="Arial" w:eastAsia="Times New Roman" w:hAnsi="Arial" w:cs="Times New Roman"/>
          <w:szCs w:val="24"/>
          <w:lang w:eastAsia="sl-SI"/>
        </w:rPr>
        <w:t xml:space="preserve">) je Mestni svet Mestne občine Nova Gorica na seji dne </w:t>
      </w:r>
      <w:r w:rsidR="00C17A74">
        <w:rPr>
          <w:rFonts w:ascii="Arial" w:eastAsia="Times New Roman" w:hAnsi="Arial" w:cs="Times New Roman"/>
          <w:szCs w:val="24"/>
          <w:lang w:eastAsia="sl-SI"/>
        </w:rPr>
        <w:t>_________</w:t>
      </w:r>
      <w:r w:rsidRPr="00E30B3D">
        <w:rPr>
          <w:rFonts w:ascii="Arial" w:eastAsia="Times New Roman" w:hAnsi="Arial" w:cs="Times New Roman"/>
          <w:szCs w:val="24"/>
          <w:lang w:eastAsia="sl-SI"/>
        </w:rPr>
        <w:t xml:space="preserve"> sprejel </w:t>
      </w:r>
      <w:r w:rsidR="00C076BC">
        <w:rPr>
          <w:rFonts w:ascii="Arial" w:eastAsia="Times New Roman" w:hAnsi="Arial" w:cs="Times New Roman"/>
          <w:szCs w:val="24"/>
          <w:lang w:eastAsia="sl-SI"/>
        </w:rPr>
        <w:t xml:space="preserve">naslednji </w:t>
      </w:r>
    </w:p>
    <w:p w14:paraId="546DFEB0" w14:textId="77777777" w:rsidR="003E0322" w:rsidRPr="00E30B3D" w:rsidRDefault="003E0322" w:rsidP="003E0322">
      <w:pPr>
        <w:keepNext/>
        <w:spacing w:after="0" w:line="240" w:lineRule="auto"/>
        <w:outlineLvl w:val="0"/>
        <w:rPr>
          <w:rFonts w:ascii="Arial" w:eastAsia="Times New Roman" w:hAnsi="Arial" w:cs="Times New Roman"/>
          <w:b/>
          <w:bCs/>
          <w:szCs w:val="24"/>
          <w:lang w:eastAsia="sl-SI"/>
        </w:rPr>
      </w:pPr>
    </w:p>
    <w:p w14:paraId="1AD08B65" w14:textId="77777777" w:rsidR="003E0322" w:rsidRPr="00E30B3D" w:rsidRDefault="003E0322" w:rsidP="003E0322">
      <w:pPr>
        <w:keepNext/>
        <w:spacing w:after="0" w:line="240" w:lineRule="auto"/>
        <w:jc w:val="center"/>
        <w:outlineLvl w:val="0"/>
        <w:rPr>
          <w:rFonts w:ascii="Arial" w:eastAsia="Times New Roman" w:hAnsi="Arial" w:cs="Times New Roman"/>
          <w:b/>
          <w:bCs/>
          <w:szCs w:val="24"/>
          <w:lang w:eastAsia="sl-SI"/>
        </w:rPr>
      </w:pPr>
    </w:p>
    <w:p w14:paraId="4D8052EB" w14:textId="77777777" w:rsidR="003E0322" w:rsidRPr="00E30B3D" w:rsidRDefault="003E0322" w:rsidP="003E0322">
      <w:pPr>
        <w:spacing w:after="0" w:line="240" w:lineRule="auto"/>
        <w:rPr>
          <w:rFonts w:ascii="Times New Roman" w:eastAsia="Times New Roman" w:hAnsi="Times New Roman" w:cs="Times New Roman"/>
          <w:sz w:val="24"/>
          <w:szCs w:val="24"/>
          <w:lang w:eastAsia="sl-SI"/>
        </w:rPr>
      </w:pPr>
    </w:p>
    <w:p w14:paraId="4EF9E82C" w14:textId="77777777" w:rsidR="003E0322" w:rsidRPr="00E30B3D" w:rsidRDefault="003E0322" w:rsidP="003E0322">
      <w:pPr>
        <w:spacing w:after="0" w:line="240" w:lineRule="auto"/>
        <w:rPr>
          <w:rFonts w:ascii="Times New Roman" w:eastAsia="Times New Roman" w:hAnsi="Times New Roman" w:cs="Times New Roman"/>
          <w:sz w:val="24"/>
          <w:szCs w:val="24"/>
          <w:lang w:eastAsia="sl-SI"/>
        </w:rPr>
      </w:pPr>
    </w:p>
    <w:p w14:paraId="644CC1EA" w14:textId="77777777" w:rsidR="003E0322" w:rsidRPr="00E30B3D" w:rsidRDefault="003E0322" w:rsidP="003E0322">
      <w:pPr>
        <w:spacing w:after="0" w:line="240" w:lineRule="auto"/>
        <w:jc w:val="center"/>
        <w:rPr>
          <w:rFonts w:ascii="Arial" w:eastAsia="Times New Roman" w:hAnsi="Arial" w:cs="Arial"/>
          <w:lang w:eastAsia="sl-SI"/>
        </w:rPr>
      </w:pPr>
      <w:r w:rsidRPr="00E30B3D">
        <w:rPr>
          <w:rFonts w:ascii="Arial" w:eastAsia="Times New Roman" w:hAnsi="Arial" w:cs="Arial"/>
          <w:lang w:eastAsia="sl-SI"/>
        </w:rPr>
        <w:t>S K L E P</w:t>
      </w:r>
    </w:p>
    <w:p w14:paraId="6FB8175B" w14:textId="77777777" w:rsidR="003E0322" w:rsidRPr="00E30B3D" w:rsidRDefault="003E0322" w:rsidP="003E0322">
      <w:pPr>
        <w:spacing w:after="0" w:line="240" w:lineRule="auto"/>
        <w:rPr>
          <w:rFonts w:ascii="Times New Roman" w:eastAsia="Times New Roman" w:hAnsi="Times New Roman" w:cs="Times New Roman"/>
          <w:lang w:eastAsia="sl-SI"/>
        </w:rPr>
      </w:pPr>
      <w:r w:rsidRPr="00E30B3D">
        <w:rPr>
          <w:rFonts w:ascii="Times New Roman" w:eastAsia="Times New Roman" w:hAnsi="Times New Roman" w:cs="Times New Roman"/>
          <w:lang w:eastAsia="sl-SI"/>
        </w:rPr>
        <w:t xml:space="preserve">                                                                                                       </w:t>
      </w:r>
    </w:p>
    <w:p w14:paraId="0464E6BD" w14:textId="77777777" w:rsidR="003E0322" w:rsidRPr="00E30B3D" w:rsidRDefault="003E0322" w:rsidP="003E0322">
      <w:pPr>
        <w:spacing w:after="0" w:line="240" w:lineRule="auto"/>
        <w:rPr>
          <w:rFonts w:ascii="Times New Roman" w:eastAsia="Times New Roman" w:hAnsi="Times New Roman" w:cs="Times New Roman"/>
          <w:lang w:eastAsia="sl-SI"/>
        </w:rPr>
      </w:pPr>
    </w:p>
    <w:p w14:paraId="1979A4AF" w14:textId="77777777" w:rsidR="003E0322" w:rsidRPr="00E30B3D" w:rsidRDefault="003E0322" w:rsidP="00C82FA7">
      <w:pPr>
        <w:tabs>
          <w:tab w:val="left" w:pos="4395"/>
        </w:tabs>
        <w:spacing w:after="0" w:line="240" w:lineRule="auto"/>
        <w:ind w:left="2835"/>
        <w:rPr>
          <w:rFonts w:ascii="Times New Roman" w:eastAsia="Times New Roman" w:hAnsi="Times New Roman" w:cs="Times New Roman"/>
          <w:lang w:eastAsia="sl-SI"/>
        </w:rPr>
      </w:pPr>
    </w:p>
    <w:p w14:paraId="5E812DD0" w14:textId="2ADBC04B" w:rsidR="00C82FA7" w:rsidRPr="00E30B3D" w:rsidRDefault="00C82FA7" w:rsidP="00C82FA7">
      <w:pPr>
        <w:spacing w:after="0" w:line="240" w:lineRule="auto"/>
        <w:jc w:val="center"/>
        <w:rPr>
          <w:rFonts w:ascii="Arial" w:eastAsia="Times New Roman" w:hAnsi="Arial" w:cs="Arial"/>
          <w:szCs w:val="24"/>
          <w:lang w:eastAsia="sl-SI"/>
        </w:rPr>
      </w:pPr>
      <w:r w:rsidRPr="00E30B3D">
        <w:rPr>
          <w:rFonts w:ascii="Arial" w:eastAsia="Times New Roman" w:hAnsi="Arial" w:cs="Arial"/>
          <w:szCs w:val="24"/>
          <w:lang w:eastAsia="sl-SI"/>
        </w:rPr>
        <w:t>1.</w:t>
      </w:r>
    </w:p>
    <w:p w14:paraId="6CF8FEBC" w14:textId="77777777" w:rsidR="003E0322" w:rsidRDefault="003E0322" w:rsidP="003E0322">
      <w:pPr>
        <w:spacing w:after="0" w:line="240" w:lineRule="auto"/>
        <w:rPr>
          <w:rFonts w:ascii="Times New Roman" w:eastAsia="Times New Roman" w:hAnsi="Times New Roman" w:cs="Times New Roman"/>
          <w:lang w:eastAsia="sl-SI"/>
        </w:rPr>
      </w:pPr>
    </w:p>
    <w:p w14:paraId="4F0D98BA" w14:textId="77777777" w:rsidR="006D27CB" w:rsidRPr="00E30B3D" w:rsidRDefault="006D27CB" w:rsidP="003E0322">
      <w:pPr>
        <w:spacing w:after="0" w:line="240" w:lineRule="auto"/>
        <w:rPr>
          <w:rFonts w:ascii="Times New Roman" w:eastAsia="Times New Roman" w:hAnsi="Times New Roman" w:cs="Times New Roman"/>
          <w:lang w:eastAsia="sl-SI"/>
        </w:rPr>
      </w:pPr>
    </w:p>
    <w:p w14:paraId="418A3F06" w14:textId="1F439F06" w:rsidR="00C82FA7" w:rsidRPr="00E30B3D" w:rsidRDefault="003E0322" w:rsidP="00C82FA7">
      <w:pPr>
        <w:spacing w:after="0" w:line="240" w:lineRule="auto"/>
        <w:jc w:val="both"/>
        <w:rPr>
          <w:rFonts w:ascii="Arial" w:eastAsia="Times New Roman" w:hAnsi="Arial" w:cs="Arial"/>
          <w:lang w:eastAsia="sl-SI"/>
        </w:rPr>
      </w:pPr>
      <w:r w:rsidRPr="00E30B3D">
        <w:rPr>
          <w:rFonts w:ascii="Arial" w:eastAsia="Times New Roman" w:hAnsi="Arial" w:cs="Arial"/>
          <w:lang w:eastAsia="sl-SI"/>
        </w:rPr>
        <w:t>Mestni svet Mestne občine Nova Gorica</w:t>
      </w:r>
      <w:r w:rsidR="00BA5AF7" w:rsidRPr="00E30B3D">
        <w:rPr>
          <w:rFonts w:ascii="Arial" w:eastAsia="Times New Roman" w:hAnsi="Arial" w:cs="Arial"/>
          <w:lang w:eastAsia="sl-SI"/>
        </w:rPr>
        <w:t xml:space="preserve"> se je seznanil </w:t>
      </w:r>
      <w:r w:rsidR="00517B46">
        <w:rPr>
          <w:rFonts w:ascii="Arial" w:eastAsia="Times New Roman" w:hAnsi="Arial" w:cs="Arial"/>
          <w:lang w:eastAsia="sl-SI"/>
        </w:rPr>
        <w:t>s</w:t>
      </w:r>
      <w:r w:rsidR="002470F0">
        <w:rPr>
          <w:rFonts w:ascii="Arial" w:eastAsia="Times New Roman" w:hAnsi="Arial" w:cs="Arial"/>
          <w:lang w:eastAsia="sl-SI"/>
        </w:rPr>
        <w:t xml:space="preserve"> </w:t>
      </w:r>
      <w:r w:rsidR="00540A67">
        <w:rPr>
          <w:rFonts w:ascii="Arial" w:eastAsia="Times New Roman" w:hAnsi="Arial" w:cs="Arial"/>
          <w:lang w:eastAsia="sl-SI"/>
        </w:rPr>
        <w:t>postopkom priprave</w:t>
      </w:r>
      <w:r w:rsidR="008A3E51">
        <w:rPr>
          <w:rFonts w:ascii="Arial" w:eastAsia="Times New Roman" w:hAnsi="Arial" w:cs="Arial"/>
          <w:lang w:eastAsia="sl-SI"/>
        </w:rPr>
        <w:t xml:space="preserve"> prenove Občinske celostne prometne strategije MONG</w:t>
      </w:r>
      <w:r w:rsidR="00622B20">
        <w:rPr>
          <w:rFonts w:ascii="Arial" w:eastAsia="Times New Roman" w:hAnsi="Arial" w:cs="Arial"/>
          <w:lang w:eastAsia="sl-SI"/>
        </w:rPr>
        <w:t xml:space="preserve"> ter z nameni in cilji </w:t>
      </w:r>
      <w:r w:rsidR="005E17F2">
        <w:rPr>
          <w:rFonts w:ascii="Arial" w:eastAsia="Times New Roman" w:hAnsi="Arial" w:cs="Arial"/>
          <w:lang w:eastAsia="sl-SI"/>
        </w:rPr>
        <w:t>priprave omenjenega dokumenta</w:t>
      </w:r>
      <w:r w:rsidR="008A3E51">
        <w:rPr>
          <w:rFonts w:ascii="Arial" w:eastAsia="Times New Roman" w:hAnsi="Arial" w:cs="Arial"/>
          <w:lang w:eastAsia="sl-SI"/>
        </w:rPr>
        <w:t xml:space="preserve">. </w:t>
      </w:r>
    </w:p>
    <w:p w14:paraId="7497AC1C" w14:textId="2DEDCE64" w:rsidR="003E0322" w:rsidRPr="00E30B3D" w:rsidRDefault="00303817" w:rsidP="00303817">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w:t>
      </w:r>
    </w:p>
    <w:p w14:paraId="7FAAF87D" w14:textId="77777777" w:rsidR="00C82FA7" w:rsidRPr="00E30B3D" w:rsidRDefault="00C82FA7" w:rsidP="003E0322">
      <w:pPr>
        <w:spacing w:after="0" w:line="240" w:lineRule="auto"/>
        <w:rPr>
          <w:rFonts w:ascii="Times New Roman" w:eastAsia="Times New Roman" w:hAnsi="Times New Roman" w:cs="Times New Roman"/>
          <w:lang w:eastAsia="sl-SI"/>
        </w:rPr>
      </w:pPr>
    </w:p>
    <w:p w14:paraId="79B2A53B" w14:textId="77777777" w:rsidR="003E0322" w:rsidRPr="00E30B3D" w:rsidRDefault="003E0322" w:rsidP="003E0322">
      <w:pPr>
        <w:spacing w:after="0" w:line="240" w:lineRule="auto"/>
        <w:jc w:val="center"/>
        <w:rPr>
          <w:rFonts w:ascii="Arial" w:eastAsia="Times New Roman" w:hAnsi="Arial" w:cs="Arial"/>
          <w:szCs w:val="24"/>
          <w:lang w:eastAsia="sl-SI"/>
        </w:rPr>
      </w:pPr>
      <w:bookmarkStart w:id="1" w:name="_Hlk144203967"/>
      <w:r w:rsidRPr="00E30B3D">
        <w:rPr>
          <w:rFonts w:ascii="Arial" w:eastAsia="Times New Roman" w:hAnsi="Arial" w:cs="Arial"/>
          <w:szCs w:val="24"/>
          <w:lang w:eastAsia="sl-SI"/>
        </w:rPr>
        <w:t>2.</w:t>
      </w:r>
    </w:p>
    <w:bookmarkEnd w:id="1"/>
    <w:p w14:paraId="39F0BF89" w14:textId="77777777" w:rsidR="003E0322" w:rsidRPr="00E30B3D" w:rsidRDefault="003E0322" w:rsidP="003E0322">
      <w:pPr>
        <w:spacing w:after="0" w:line="240" w:lineRule="auto"/>
        <w:jc w:val="both"/>
        <w:rPr>
          <w:rFonts w:ascii="Arial" w:eastAsia="Times New Roman" w:hAnsi="Arial" w:cs="Arial"/>
          <w:szCs w:val="24"/>
          <w:lang w:eastAsia="sl-SI"/>
        </w:rPr>
      </w:pPr>
    </w:p>
    <w:p w14:paraId="63F0B47F" w14:textId="77777777" w:rsidR="003E0322" w:rsidRPr="00E30B3D" w:rsidRDefault="003E0322" w:rsidP="003E0322">
      <w:pPr>
        <w:spacing w:after="0" w:line="240" w:lineRule="auto"/>
        <w:jc w:val="both"/>
        <w:rPr>
          <w:rFonts w:ascii="Arial" w:eastAsia="Times New Roman" w:hAnsi="Arial" w:cs="Arial"/>
          <w:szCs w:val="24"/>
          <w:lang w:eastAsia="sl-SI"/>
        </w:rPr>
      </w:pPr>
      <w:r w:rsidRPr="00E30B3D">
        <w:rPr>
          <w:rFonts w:ascii="Arial" w:eastAsia="Times New Roman" w:hAnsi="Arial" w:cs="Arial"/>
          <w:szCs w:val="24"/>
          <w:lang w:eastAsia="sl-SI"/>
        </w:rPr>
        <w:t>Ta sklep velja takoj.</w:t>
      </w:r>
    </w:p>
    <w:p w14:paraId="24496227" w14:textId="77777777" w:rsidR="003E0322" w:rsidRPr="00E30B3D" w:rsidRDefault="003E0322" w:rsidP="003E0322">
      <w:pPr>
        <w:spacing w:after="0" w:line="240" w:lineRule="auto"/>
        <w:jc w:val="both"/>
        <w:rPr>
          <w:rFonts w:ascii="Arial" w:eastAsia="Times New Roman" w:hAnsi="Arial" w:cs="Arial"/>
          <w:szCs w:val="24"/>
          <w:lang w:eastAsia="sl-SI"/>
        </w:rPr>
      </w:pPr>
    </w:p>
    <w:p w14:paraId="7AF7970D" w14:textId="77777777" w:rsidR="003E0322" w:rsidRPr="00E30B3D" w:rsidRDefault="003E0322" w:rsidP="003E0322">
      <w:pPr>
        <w:spacing w:after="0" w:line="240" w:lineRule="auto"/>
        <w:jc w:val="both"/>
        <w:rPr>
          <w:rFonts w:ascii="Arial" w:eastAsia="Times New Roman" w:hAnsi="Arial" w:cs="Arial"/>
          <w:szCs w:val="24"/>
          <w:lang w:eastAsia="sl-SI"/>
        </w:rPr>
      </w:pPr>
    </w:p>
    <w:p w14:paraId="076AB5BA" w14:textId="77777777" w:rsidR="003E0322" w:rsidRPr="00E30B3D" w:rsidRDefault="003E0322" w:rsidP="003E0322">
      <w:pPr>
        <w:spacing w:after="0" w:line="240" w:lineRule="auto"/>
        <w:jc w:val="both"/>
        <w:rPr>
          <w:rFonts w:ascii="Arial" w:eastAsia="Times New Roman" w:hAnsi="Arial" w:cs="Arial"/>
          <w:szCs w:val="24"/>
          <w:lang w:eastAsia="sl-SI"/>
        </w:rPr>
      </w:pPr>
    </w:p>
    <w:p w14:paraId="6C606066" w14:textId="77777777" w:rsidR="00C82FA7" w:rsidRPr="00E30B3D" w:rsidRDefault="00C82FA7" w:rsidP="003E0322">
      <w:pPr>
        <w:spacing w:after="0" w:line="240" w:lineRule="auto"/>
        <w:jc w:val="both"/>
        <w:rPr>
          <w:rFonts w:ascii="Arial" w:eastAsia="Times New Roman" w:hAnsi="Arial" w:cs="Arial"/>
          <w:szCs w:val="24"/>
          <w:lang w:eastAsia="sl-SI"/>
        </w:rPr>
      </w:pPr>
    </w:p>
    <w:p w14:paraId="2F3C4864" w14:textId="77777777" w:rsidR="00363A35" w:rsidRPr="00363A35" w:rsidRDefault="003E0322" w:rsidP="00363A35">
      <w:pPr>
        <w:spacing w:after="0" w:line="240" w:lineRule="auto"/>
        <w:jc w:val="both"/>
        <w:rPr>
          <w:rFonts w:ascii="Arial" w:eastAsia="Times New Roman" w:hAnsi="Arial" w:cs="Times New Roman"/>
          <w:szCs w:val="24"/>
          <w:lang w:eastAsia="sl-SI"/>
        </w:rPr>
      </w:pPr>
      <w:r w:rsidRPr="00E30B3D">
        <w:rPr>
          <w:rFonts w:ascii="Arial" w:eastAsia="Times New Roman" w:hAnsi="Arial" w:cs="Times New Roman"/>
          <w:szCs w:val="24"/>
          <w:lang w:eastAsia="sl-SI"/>
        </w:rPr>
        <w:t xml:space="preserve">Številka: </w:t>
      </w:r>
      <w:r w:rsidR="00363A35" w:rsidRPr="00363A35">
        <w:rPr>
          <w:rFonts w:ascii="Arial" w:eastAsia="Times New Roman" w:hAnsi="Arial" w:cs="Times New Roman"/>
          <w:szCs w:val="24"/>
          <w:lang w:eastAsia="sl-SI"/>
        </w:rPr>
        <w:t>370-1/2024-1</w:t>
      </w:r>
    </w:p>
    <w:p w14:paraId="24B39A46" w14:textId="65B93334" w:rsidR="003E0322" w:rsidRPr="00E30B3D" w:rsidRDefault="003E0322" w:rsidP="003E0322">
      <w:pPr>
        <w:spacing w:after="0" w:line="240" w:lineRule="auto"/>
        <w:jc w:val="both"/>
        <w:rPr>
          <w:rFonts w:ascii="Arial" w:eastAsia="Times New Roman" w:hAnsi="Arial" w:cs="Arial"/>
          <w:bCs/>
          <w:szCs w:val="24"/>
          <w:lang w:eastAsia="sl-SI"/>
        </w:rPr>
      </w:pPr>
      <w:r w:rsidRPr="00E30B3D">
        <w:rPr>
          <w:rFonts w:ascii="Arial" w:eastAsia="Times New Roman" w:hAnsi="Arial" w:cs="Times New Roman"/>
          <w:szCs w:val="24"/>
          <w:lang w:eastAsia="sl-SI"/>
        </w:rPr>
        <w:t xml:space="preserve">Nova Gorica,                                                                     </w:t>
      </w:r>
      <w:r w:rsidR="00E80736" w:rsidRPr="00E30B3D">
        <w:rPr>
          <w:rFonts w:ascii="Arial" w:eastAsia="Times New Roman" w:hAnsi="Arial" w:cs="Arial"/>
          <w:bCs/>
          <w:szCs w:val="24"/>
          <w:lang w:eastAsia="sl-SI"/>
        </w:rPr>
        <w:t xml:space="preserve"> </w:t>
      </w:r>
      <w:r w:rsidR="00226416" w:rsidRPr="00E30B3D">
        <w:rPr>
          <w:rFonts w:ascii="Arial" w:eastAsia="Times New Roman" w:hAnsi="Arial" w:cs="Arial"/>
          <w:bCs/>
          <w:szCs w:val="24"/>
          <w:lang w:eastAsia="sl-SI"/>
        </w:rPr>
        <w:t xml:space="preserve">          </w:t>
      </w:r>
      <w:r w:rsidR="00E80736" w:rsidRPr="00E30B3D">
        <w:rPr>
          <w:rFonts w:ascii="Arial" w:eastAsia="Times New Roman" w:hAnsi="Arial" w:cs="Arial"/>
          <w:bCs/>
          <w:szCs w:val="24"/>
          <w:lang w:eastAsia="sl-SI"/>
        </w:rPr>
        <w:t xml:space="preserve">      Samo Turel</w:t>
      </w:r>
    </w:p>
    <w:p w14:paraId="193237BD" w14:textId="3AFFAE91" w:rsidR="003E0322" w:rsidRPr="00E30B3D" w:rsidRDefault="003E0322" w:rsidP="003E0322">
      <w:pPr>
        <w:spacing w:after="0" w:line="240" w:lineRule="auto"/>
        <w:ind w:left="360"/>
        <w:jc w:val="center"/>
        <w:rPr>
          <w:rFonts w:ascii="Arial" w:eastAsia="Times New Roman" w:hAnsi="Arial" w:cs="Arial"/>
          <w:bCs/>
          <w:szCs w:val="24"/>
          <w:lang w:eastAsia="sl-SI"/>
        </w:rPr>
      </w:pPr>
      <w:r w:rsidRPr="00E30B3D">
        <w:rPr>
          <w:rFonts w:ascii="Arial" w:eastAsia="Times New Roman" w:hAnsi="Arial" w:cs="Arial"/>
          <w:bCs/>
          <w:szCs w:val="24"/>
          <w:lang w:eastAsia="sl-SI"/>
        </w:rPr>
        <w:t xml:space="preserve">                                                              </w:t>
      </w:r>
      <w:r w:rsidR="00226416" w:rsidRPr="00E30B3D">
        <w:rPr>
          <w:rFonts w:ascii="Arial" w:eastAsia="Times New Roman" w:hAnsi="Arial" w:cs="Arial"/>
          <w:bCs/>
          <w:szCs w:val="24"/>
          <w:lang w:eastAsia="sl-SI"/>
        </w:rPr>
        <w:t xml:space="preserve">                     </w:t>
      </w:r>
      <w:r w:rsidRPr="00E30B3D">
        <w:rPr>
          <w:rFonts w:ascii="Arial" w:eastAsia="Times New Roman" w:hAnsi="Arial" w:cs="Arial"/>
          <w:bCs/>
          <w:szCs w:val="24"/>
          <w:lang w:eastAsia="sl-SI"/>
        </w:rPr>
        <w:t xml:space="preserve"> ŽUPAN</w:t>
      </w:r>
    </w:p>
    <w:p w14:paraId="36910C00"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75863AA2"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39844280"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21F806D6"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432B0D85"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65B26F9F"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09710B78"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50D1B2DD"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17C7B1F0" w14:textId="7B7F8004" w:rsidR="003E0322" w:rsidRPr="00E30B3D" w:rsidRDefault="003E0322" w:rsidP="003E0322">
      <w:pPr>
        <w:spacing w:after="0" w:line="240" w:lineRule="auto"/>
        <w:ind w:left="360"/>
        <w:jc w:val="center"/>
        <w:rPr>
          <w:rFonts w:ascii="Arial" w:eastAsia="Times New Roman" w:hAnsi="Arial" w:cs="Arial"/>
          <w:bCs/>
          <w:szCs w:val="24"/>
          <w:lang w:eastAsia="sl-SI"/>
        </w:rPr>
      </w:pPr>
    </w:p>
    <w:p w14:paraId="655F007A" w14:textId="08A23F3C" w:rsidR="006366D3" w:rsidRPr="00E30B3D" w:rsidRDefault="006366D3" w:rsidP="003E0322">
      <w:pPr>
        <w:spacing w:after="0" w:line="240" w:lineRule="auto"/>
        <w:ind w:left="360"/>
        <w:jc w:val="center"/>
        <w:rPr>
          <w:rFonts w:ascii="Arial" w:eastAsia="Times New Roman" w:hAnsi="Arial" w:cs="Arial"/>
          <w:bCs/>
          <w:szCs w:val="24"/>
          <w:lang w:eastAsia="sl-SI"/>
        </w:rPr>
      </w:pPr>
    </w:p>
    <w:p w14:paraId="53609E63" w14:textId="77777777" w:rsidR="006366D3" w:rsidRDefault="006366D3" w:rsidP="003E0322">
      <w:pPr>
        <w:spacing w:after="0" w:line="240" w:lineRule="auto"/>
        <w:ind w:left="360"/>
        <w:jc w:val="center"/>
        <w:rPr>
          <w:rFonts w:ascii="Arial" w:eastAsia="Times New Roman" w:hAnsi="Arial" w:cs="Arial"/>
          <w:bCs/>
          <w:szCs w:val="24"/>
          <w:lang w:eastAsia="sl-SI"/>
        </w:rPr>
      </w:pPr>
    </w:p>
    <w:p w14:paraId="3A887865" w14:textId="77777777" w:rsidR="0085707A" w:rsidRPr="00E30B3D" w:rsidRDefault="0085707A" w:rsidP="003E0322">
      <w:pPr>
        <w:spacing w:after="0" w:line="240" w:lineRule="auto"/>
        <w:ind w:left="360"/>
        <w:jc w:val="center"/>
        <w:rPr>
          <w:rFonts w:ascii="Arial" w:eastAsia="Times New Roman" w:hAnsi="Arial" w:cs="Arial"/>
          <w:bCs/>
          <w:szCs w:val="24"/>
          <w:lang w:eastAsia="sl-SI"/>
        </w:rPr>
      </w:pPr>
    </w:p>
    <w:p w14:paraId="6301FC02"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5E2DBEED" w14:textId="6D847758" w:rsidR="003E0322" w:rsidRPr="00E30B3D" w:rsidRDefault="003E0322" w:rsidP="003E0322">
      <w:pPr>
        <w:spacing w:after="0" w:line="240" w:lineRule="auto"/>
        <w:ind w:left="360"/>
        <w:jc w:val="center"/>
        <w:rPr>
          <w:rFonts w:ascii="Arial" w:eastAsia="Times New Roman" w:hAnsi="Arial" w:cs="Arial"/>
          <w:bCs/>
          <w:szCs w:val="24"/>
          <w:lang w:eastAsia="sl-SI"/>
        </w:rPr>
      </w:pPr>
    </w:p>
    <w:p w14:paraId="0DE35AFD" w14:textId="662664AA" w:rsidR="00E80736" w:rsidRPr="00E30B3D" w:rsidRDefault="00E80736" w:rsidP="003E0322">
      <w:pPr>
        <w:spacing w:after="0" w:line="240" w:lineRule="auto"/>
        <w:ind w:left="360"/>
        <w:jc w:val="center"/>
        <w:rPr>
          <w:rFonts w:ascii="Arial" w:eastAsia="Times New Roman" w:hAnsi="Arial" w:cs="Arial"/>
          <w:bCs/>
          <w:szCs w:val="24"/>
          <w:lang w:eastAsia="sl-SI"/>
        </w:rPr>
      </w:pPr>
    </w:p>
    <w:p w14:paraId="69F0B5E8" w14:textId="77777777" w:rsidR="00E80736" w:rsidRPr="00E30B3D" w:rsidRDefault="00E80736" w:rsidP="003E0322">
      <w:pPr>
        <w:spacing w:after="0" w:line="240" w:lineRule="auto"/>
        <w:ind w:left="360"/>
        <w:jc w:val="center"/>
        <w:rPr>
          <w:rFonts w:ascii="Arial" w:eastAsia="Times New Roman" w:hAnsi="Arial" w:cs="Arial"/>
          <w:bCs/>
          <w:szCs w:val="24"/>
          <w:lang w:eastAsia="sl-SI"/>
        </w:rPr>
      </w:pPr>
    </w:p>
    <w:p w14:paraId="271C0DAF"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7A45B1E3" w14:textId="77777777" w:rsidR="003E0322" w:rsidRPr="00E30B3D" w:rsidRDefault="003E0322" w:rsidP="003E0322">
      <w:pPr>
        <w:spacing w:after="0" w:line="240" w:lineRule="auto"/>
        <w:rPr>
          <w:rFonts w:ascii="Arial" w:eastAsia="Times New Roman" w:hAnsi="Arial" w:cs="Arial"/>
          <w:bCs/>
          <w:szCs w:val="24"/>
          <w:lang w:eastAsia="sl-SI"/>
        </w:rPr>
      </w:pPr>
    </w:p>
    <w:p w14:paraId="5EC63DF6"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106506C4" w14:textId="30210194" w:rsidR="003E0322" w:rsidRPr="00E30B3D" w:rsidRDefault="00A74FC6" w:rsidP="00A74FC6">
      <w:pPr>
        <w:spacing w:after="0" w:line="240" w:lineRule="auto"/>
        <w:ind w:left="360"/>
        <w:jc w:val="both"/>
        <w:rPr>
          <w:rFonts w:ascii="Arial" w:eastAsia="Times New Roman" w:hAnsi="Arial" w:cs="Arial"/>
          <w:szCs w:val="24"/>
          <w:lang w:eastAsia="sl-SI"/>
        </w:rPr>
      </w:pPr>
      <w:r>
        <w:rPr>
          <w:rFonts w:ascii="Arial" w:eastAsia="Times New Roman" w:hAnsi="Arial" w:cs="Arial"/>
          <w:noProof/>
          <w:szCs w:val="24"/>
          <w:lang w:eastAsia="sl-SI"/>
        </w:rPr>
        <w:lastRenderedPageBreak/>
        <w:drawing>
          <wp:anchor distT="0" distB="0" distL="114300" distR="114300" simplePos="0" relativeHeight="251658240" behindDoc="0" locked="0" layoutInCell="1" allowOverlap="0" wp14:anchorId="354AF7E8" wp14:editId="7D4667D3">
            <wp:simplePos x="0" y="0"/>
            <wp:positionH relativeFrom="page">
              <wp:posOffset>316230</wp:posOffset>
            </wp:positionH>
            <wp:positionV relativeFrom="page">
              <wp:posOffset>214630</wp:posOffset>
            </wp:positionV>
            <wp:extent cx="2371725" cy="1000125"/>
            <wp:effectExtent l="0" t="0" r="9525" b="9525"/>
            <wp:wrapTopAndBottom/>
            <wp:docPr id="101075375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E0322" w:rsidRPr="00E30B3D">
        <w:rPr>
          <w:rFonts w:ascii="Arial" w:eastAsia="Times New Roman" w:hAnsi="Arial" w:cs="Arial"/>
          <w:bCs/>
          <w:szCs w:val="24"/>
          <w:lang w:eastAsia="sl-SI"/>
        </w:rPr>
        <w:t xml:space="preserve">       </w:t>
      </w:r>
    </w:p>
    <w:p w14:paraId="4761F3C5" w14:textId="77777777" w:rsidR="00363A35" w:rsidRPr="00363A35" w:rsidRDefault="003E0322" w:rsidP="00363A35">
      <w:pPr>
        <w:spacing w:after="0" w:line="240" w:lineRule="auto"/>
        <w:rPr>
          <w:rFonts w:ascii="Arial" w:eastAsia="Times New Roman" w:hAnsi="Arial" w:cs="Arial"/>
          <w:szCs w:val="24"/>
          <w:lang w:eastAsia="sl-SI"/>
        </w:rPr>
      </w:pPr>
      <w:r w:rsidRPr="00E30B3D">
        <w:rPr>
          <w:rFonts w:ascii="Arial" w:eastAsia="Times New Roman" w:hAnsi="Arial" w:cs="Arial"/>
          <w:szCs w:val="24"/>
          <w:lang w:eastAsia="sl-SI"/>
        </w:rPr>
        <w:t xml:space="preserve">Številka: </w:t>
      </w:r>
      <w:r w:rsidR="00363A35" w:rsidRPr="00363A35">
        <w:rPr>
          <w:rFonts w:ascii="Arial" w:eastAsia="Times New Roman" w:hAnsi="Arial" w:cs="Arial"/>
          <w:szCs w:val="24"/>
          <w:lang w:eastAsia="sl-SI"/>
        </w:rPr>
        <w:t>370-1/2024-1</w:t>
      </w:r>
    </w:p>
    <w:p w14:paraId="007BD9F5" w14:textId="2EC5B281" w:rsidR="003E0322" w:rsidRPr="00E30B3D" w:rsidRDefault="003E0322" w:rsidP="003E0322">
      <w:pPr>
        <w:spacing w:after="0" w:line="240" w:lineRule="auto"/>
        <w:jc w:val="both"/>
        <w:rPr>
          <w:rFonts w:ascii="Arial" w:eastAsia="Times New Roman" w:hAnsi="Arial" w:cs="Arial"/>
          <w:szCs w:val="24"/>
          <w:lang w:eastAsia="sl-SI"/>
        </w:rPr>
      </w:pPr>
      <w:r w:rsidRPr="00E30B3D">
        <w:rPr>
          <w:rFonts w:ascii="Arial" w:eastAsia="Times New Roman" w:hAnsi="Arial" w:cs="Arial"/>
          <w:szCs w:val="24"/>
          <w:lang w:eastAsia="sl-SI"/>
        </w:rPr>
        <w:t>Nova Gorica,</w:t>
      </w:r>
      <w:r w:rsidR="00AB47C9">
        <w:rPr>
          <w:rFonts w:ascii="Arial" w:eastAsia="Times New Roman" w:hAnsi="Arial" w:cs="Arial"/>
          <w:szCs w:val="24"/>
          <w:lang w:eastAsia="sl-SI"/>
        </w:rPr>
        <w:t xml:space="preserve"> </w:t>
      </w:r>
      <w:r w:rsidR="008001AA">
        <w:rPr>
          <w:rFonts w:ascii="Arial" w:eastAsia="Times New Roman" w:hAnsi="Arial" w:cs="Arial"/>
          <w:szCs w:val="24"/>
          <w:lang w:eastAsia="sl-SI"/>
        </w:rPr>
        <w:t>dne 9. oktobra 2024</w:t>
      </w:r>
    </w:p>
    <w:p w14:paraId="650CE702" w14:textId="77777777" w:rsidR="00C82FA7" w:rsidRPr="00E30B3D" w:rsidRDefault="00C82FA7" w:rsidP="003E0322">
      <w:pPr>
        <w:spacing w:after="0" w:line="240" w:lineRule="auto"/>
        <w:jc w:val="both"/>
        <w:rPr>
          <w:rFonts w:ascii="Arial" w:eastAsia="Times New Roman" w:hAnsi="Arial" w:cs="Arial"/>
          <w:szCs w:val="24"/>
          <w:lang w:eastAsia="sl-SI"/>
        </w:rPr>
      </w:pPr>
    </w:p>
    <w:p w14:paraId="7EDAAA53" w14:textId="77777777" w:rsidR="008001AA" w:rsidRDefault="008001AA" w:rsidP="008001AA">
      <w:pPr>
        <w:keepNext/>
        <w:spacing w:after="0" w:line="240" w:lineRule="auto"/>
        <w:jc w:val="center"/>
        <w:outlineLvl w:val="2"/>
        <w:rPr>
          <w:rFonts w:ascii="Arial" w:eastAsia="Times New Roman" w:hAnsi="Arial" w:cs="Arial"/>
          <w:lang w:eastAsia="sl-SI"/>
        </w:rPr>
      </w:pPr>
    </w:p>
    <w:p w14:paraId="066CC3F3" w14:textId="22A714EE" w:rsidR="003E0322" w:rsidRPr="008001AA" w:rsidRDefault="003E0322" w:rsidP="008001AA">
      <w:pPr>
        <w:keepNext/>
        <w:spacing w:after="0" w:line="240" w:lineRule="auto"/>
        <w:jc w:val="center"/>
        <w:outlineLvl w:val="2"/>
        <w:rPr>
          <w:rFonts w:ascii="Arial" w:eastAsia="Times New Roman" w:hAnsi="Arial" w:cs="Arial"/>
          <w:lang w:eastAsia="sl-SI"/>
        </w:rPr>
      </w:pPr>
      <w:r w:rsidRPr="008001AA">
        <w:rPr>
          <w:rFonts w:ascii="Arial" w:eastAsia="Times New Roman" w:hAnsi="Arial" w:cs="Arial"/>
          <w:lang w:eastAsia="sl-SI"/>
        </w:rPr>
        <w:t>O B R A Z L O Ž I T E V</w:t>
      </w:r>
    </w:p>
    <w:p w14:paraId="3AAC708C" w14:textId="77777777" w:rsidR="00CC037E" w:rsidRDefault="00CC037E" w:rsidP="003E0322">
      <w:pPr>
        <w:spacing w:after="0" w:line="240" w:lineRule="auto"/>
        <w:jc w:val="both"/>
        <w:rPr>
          <w:rFonts w:ascii="Arial" w:eastAsia="Times New Roman" w:hAnsi="Arial" w:cs="Arial"/>
          <w:lang w:eastAsia="sl-SI"/>
        </w:rPr>
      </w:pPr>
    </w:p>
    <w:p w14:paraId="1796D1EA" w14:textId="58743386" w:rsidR="002470F0" w:rsidRDefault="00986D8D" w:rsidP="008001AA">
      <w:pPr>
        <w:pStyle w:val="Odstavekseznama"/>
        <w:numPr>
          <w:ilvl w:val="0"/>
          <w:numId w:val="15"/>
        </w:numPr>
        <w:ind w:left="357" w:hanging="357"/>
        <w:jc w:val="both"/>
        <w:rPr>
          <w:rFonts w:ascii="Arial" w:eastAsia="Times New Roman" w:hAnsi="Arial" w:cs="Arial"/>
          <w:b/>
          <w:bCs/>
          <w:lang w:eastAsia="sl-SI"/>
        </w:rPr>
      </w:pPr>
      <w:r>
        <w:rPr>
          <w:rFonts w:ascii="Arial" w:eastAsia="Times New Roman" w:hAnsi="Arial" w:cs="Arial"/>
          <w:b/>
          <w:bCs/>
          <w:lang w:eastAsia="sl-SI"/>
        </w:rPr>
        <w:t>Uvod</w:t>
      </w:r>
      <w:r w:rsidR="005E76E4">
        <w:rPr>
          <w:rFonts w:ascii="Arial" w:eastAsia="Times New Roman" w:hAnsi="Arial" w:cs="Arial"/>
          <w:b/>
          <w:bCs/>
          <w:lang w:eastAsia="sl-SI"/>
        </w:rPr>
        <w:t>:</w:t>
      </w:r>
    </w:p>
    <w:p w14:paraId="2091B96D" w14:textId="77777777" w:rsidR="008001AA" w:rsidRDefault="008001AA" w:rsidP="008001AA">
      <w:pPr>
        <w:spacing w:after="0" w:line="240" w:lineRule="auto"/>
        <w:jc w:val="both"/>
        <w:rPr>
          <w:rFonts w:ascii="Arial" w:eastAsia="Times New Roman" w:hAnsi="Arial" w:cs="Arial"/>
          <w:lang w:eastAsia="sl-SI"/>
        </w:rPr>
      </w:pPr>
    </w:p>
    <w:p w14:paraId="74881B34" w14:textId="675AC703" w:rsidR="00B53C3D" w:rsidRPr="002470F0" w:rsidRDefault="00B53C3D" w:rsidP="008001AA">
      <w:pPr>
        <w:spacing w:after="0" w:line="240" w:lineRule="auto"/>
        <w:jc w:val="both"/>
        <w:rPr>
          <w:rFonts w:ascii="Arial" w:eastAsia="Times New Roman" w:hAnsi="Arial" w:cs="Arial"/>
          <w:lang w:eastAsia="sl-SI"/>
        </w:rPr>
      </w:pPr>
      <w:r w:rsidRPr="002470F0">
        <w:rPr>
          <w:rFonts w:ascii="Arial" w:eastAsia="Times New Roman" w:hAnsi="Arial" w:cs="Arial"/>
          <w:lang w:eastAsia="sl-SI"/>
        </w:rPr>
        <w:t xml:space="preserve">Mestna občina Nova Gorica je leta 2017 sprejela svojo prvo Celostno prometno strategijo (v nadaljevanju CPS). V okviru CPS je bil pripravljen akcijski načrt z naborom ukrepov, ki so bili vodilo pri usmerjanju dela na področju trajnostne mobilnosti občine v zadnjih 7 letih, medtem ko je dokument kot tak bil tudi temelj za pridobivanje evropskih in drugih sredstev za njihovo realizacijo. Na osnovi CPS iz leta 2017 smo tako npr. izvedli CTN projekt Povezano kolesarsko omrežje, vzpostavili in razširili smo omrežje izposoje koles, prenovili večji del avtobusnih postajališč mestnega potniškega prometa ter pripravili druge projekte, ki so trenutno v fazi priprave na realizacijo. </w:t>
      </w:r>
    </w:p>
    <w:p w14:paraId="248897B2" w14:textId="77777777" w:rsidR="00B53C3D" w:rsidRPr="00B53C3D" w:rsidRDefault="00B53C3D" w:rsidP="00B53C3D">
      <w:pPr>
        <w:spacing w:after="0" w:line="240" w:lineRule="auto"/>
        <w:jc w:val="both"/>
        <w:rPr>
          <w:rFonts w:ascii="Arial" w:eastAsia="Times New Roman" w:hAnsi="Arial" w:cs="Arial"/>
          <w:lang w:eastAsia="sl-SI"/>
        </w:rPr>
      </w:pPr>
    </w:p>
    <w:p w14:paraId="2730609B" w14:textId="77777777" w:rsidR="00B53C3D" w:rsidRPr="00B53C3D" w:rsidRDefault="00B53C3D" w:rsidP="00B53C3D">
      <w:pPr>
        <w:spacing w:after="0" w:line="240" w:lineRule="auto"/>
        <w:jc w:val="both"/>
        <w:rPr>
          <w:rFonts w:ascii="Arial" w:eastAsia="Times New Roman" w:hAnsi="Arial" w:cs="Arial"/>
          <w:lang w:eastAsia="sl-SI"/>
        </w:rPr>
      </w:pPr>
      <w:r w:rsidRPr="00B53C3D">
        <w:rPr>
          <w:rFonts w:ascii="Arial" w:eastAsia="Times New Roman" w:hAnsi="Arial" w:cs="Arial"/>
          <w:lang w:eastAsia="sl-SI"/>
        </w:rPr>
        <w:t>V letu 2022 je bil sprejet Zakon o celostnem prometnem načrtovanju (Uradni list RS, št. </w:t>
      </w:r>
      <w:hyperlink r:id="rId12" w:tgtFrame="_blank" w:tooltip="Zakon o celostnem prometnem načrtovanju (ZCPN)" w:history="1">
        <w:r w:rsidRPr="008001AA">
          <w:rPr>
            <w:rStyle w:val="Hiperpovezava"/>
            <w:rFonts w:ascii="Arial" w:eastAsia="Times New Roman" w:hAnsi="Arial" w:cs="Arial"/>
            <w:color w:val="auto"/>
            <w:u w:val="none"/>
            <w:lang w:eastAsia="sl-SI"/>
          </w:rPr>
          <w:t>130/22</w:t>
        </w:r>
      </w:hyperlink>
      <w:r w:rsidRPr="008001AA">
        <w:rPr>
          <w:rFonts w:ascii="Arial" w:eastAsia="Times New Roman" w:hAnsi="Arial" w:cs="Arial"/>
          <w:lang w:eastAsia="sl-SI"/>
        </w:rPr>
        <w:t>),</w:t>
      </w:r>
      <w:r w:rsidRPr="00B53C3D">
        <w:rPr>
          <w:rFonts w:ascii="Arial" w:eastAsia="Times New Roman" w:hAnsi="Arial" w:cs="Arial"/>
          <w:lang w:eastAsia="sl-SI"/>
        </w:rPr>
        <w:t xml:space="preserve"> v katerem je določeno, da je Občinska celostna prometna strategija (v nadaljevanju OCPS)  »(…) sedemletni temeljni strateški dokument občine ali več sosednjih občin o usmerjanju razvoja in celostnega upravljanja prometa na njenem območju« in da je sprejetje OCPS » (…) obvezno za mestne občine«. </w:t>
      </w:r>
    </w:p>
    <w:p w14:paraId="05F6E517" w14:textId="77777777" w:rsidR="00B53C3D" w:rsidRPr="00B53C3D" w:rsidRDefault="00B53C3D" w:rsidP="00B53C3D">
      <w:pPr>
        <w:spacing w:after="0" w:line="240" w:lineRule="auto"/>
        <w:jc w:val="both"/>
        <w:rPr>
          <w:rFonts w:ascii="Arial" w:eastAsia="Times New Roman" w:hAnsi="Arial" w:cs="Arial"/>
          <w:lang w:eastAsia="sl-SI"/>
        </w:rPr>
      </w:pPr>
    </w:p>
    <w:p w14:paraId="6BBF6178" w14:textId="77777777" w:rsidR="00B53C3D" w:rsidRDefault="00B53C3D" w:rsidP="00B53C3D">
      <w:pPr>
        <w:spacing w:after="0" w:line="240" w:lineRule="auto"/>
        <w:jc w:val="both"/>
        <w:rPr>
          <w:rFonts w:ascii="Arial" w:eastAsia="Times New Roman" w:hAnsi="Arial" w:cs="Arial"/>
          <w:lang w:eastAsia="sl-SI"/>
        </w:rPr>
      </w:pPr>
      <w:r w:rsidRPr="00B53C3D">
        <w:rPr>
          <w:rFonts w:ascii="Arial" w:eastAsia="Times New Roman" w:hAnsi="Arial" w:cs="Arial"/>
          <w:lang w:eastAsia="sl-SI"/>
        </w:rPr>
        <w:t xml:space="preserve">Od sprejema CPS Mestne občine Nova Gorica je minilo več kot 7 let. V tem obdobju se je marsikaj postorilo ter tudi dejansko spremenilo. Zato je ne samo zakonsko obvezno, da pristopimo k prenovi obstoječega strateškega dokumenta, temveč je to tudi potrebno, saj lahko skozi predpisan proces obenem pregledamo in preverimo, kje smo bili uspešni in kje ne, poiščemo razloge za nerealizirane ukrepe, obenem pa ponovno preverimo cilje trajnostnega upravljanja prometa z uporabniki in prebivalci mestne občine ter prevetrimo ukrepe, ki bodo pripeljali do njihove realizacije. </w:t>
      </w:r>
    </w:p>
    <w:p w14:paraId="28C88E7B" w14:textId="77777777" w:rsidR="00986D8D" w:rsidRDefault="00986D8D" w:rsidP="00B53C3D">
      <w:pPr>
        <w:spacing w:after="0" w:line="240" w:lineRule="auto"/>
        <w:jc w:val="both"/>
        <w:rPr>
          <w:rFonts w:ascii="Arial" w:eastAsia="Times New Roman" w:hAnsi="Arial" w:cs="Arial"/>
          <w:lang w:eastAsia="sl-SI"/>
        </w:rPr>
      </w:pPr>
    </w:p>
    <w:p w14:paraId="1D348923" w14:textId="58B5FEE0" w:rsidR="00986D8D" w:rsidRPr="00986D8D" w:rsidRDefault="00986D8D" w:rsidP="00986D8D">
      <w:pPr>
        <w:pStyle w:val="Odstavekseznama"/>
        <w:numPr>
          <w:ilvl w:val="0"/>
          <w:numId w:val="15"/>
        </w:numPr>
        <w:jc w:val="both"/>
        <w:rPr>
          <w:rFonts w:ascii="Arial" w:eastAsia="Times New Roman" w:hAnsi="Arial" w:cs="Arial"/>
          <w:b/>
          <w:bCs/>
          <w:lang w:eastAsia="sl-SI"/>
        </w:rPr>
      </w:pPr>
      <w:r w:rsidRPr="00986D8D">
        <w:rPr>
          <w:rFonts w:ascii="Arial" w:eastAsia="Times New Roman" w:hAnsi="Arial" w:cs="Arial"/>
          <w:b/>
          <w:bCs/>
          <w:lang w:eastAsia="sl-SI"/>
        </w:rPr>
        <w:t>Razlogi za sprejem sklepa</w:t>
      </w:r>
      <w:r w:rsidR="005E76E4">
        <w:rPr>
          <w:rFonts w:ascii="Arial" w:eastAsia="Times New Roman" w:hAnsi="Arial" w:cs="Arial"/>
          <w:b/>
          <w:bCs/>
          <w:lang w:eastAsia="sl-SI"/>
        </w:rPr>
        <w:t xml:space="preserve">: </w:t>
      </w:r>
    </w:p>
    <w:p w14:paraId="5147D797" w14:textId="77777777" w:rsidR="002470F0" w:rsidRDefault="002470F0" w:rsidP="00B53C3D">
      <w:pPr>
        <w:spacing w:after="0" w:line="240" w:lineRule="auto"/>
        <w:jc w:val="both"/>
        <w:rPr>
          <w:rFonts w:ascii="Arial" w:eastAsia="Times New Roman" w:hAnsi="Arial" w:cs="Arial"/>
          <w:lang w:eastAsia="sl-SI"/>
        </w:rPr>
      </w:pPr>
    </w:p>
    <w:p w14:paraId="7E07ADD1" w14:textId="4BA2A916" w:rsidR="002470F0" w:rsidRDefault="002470F0" w:rsidP="00B53C3D">
      <w:pPr>
        <w:spacing w:after="0" w:line="240" w:lineRule="auto"/>
        <w:jc w:val="both"/>
        <w:rPr>
          <w:rFonts w:ascii="Arial" w:eastAsia="Times New Roman" w:hAnsi="Arial" w:cs="Arial"/>
          <w:lang w:eastAsia="sl-SI"/>
        </w:rPr>
      </w:pPr>
      <w:r>
        <w:rPr>
          <w:rFonts w:ascii="Arial" w:eastAsia="Times New Roman" w:hAnsi="Arial" w:cs="Arial"/>
          <w:lang w:eastAsia="sl-SI"/>
        </w:rPr>
        <w:t>Mestna občina Nova Gorica je pristopila k pripravi prenove občinske celostne prometne strategije v septembru</w:t>
      </w:r>
      <w:r w:rsidR="00986D8D">
        <w:rPr>
          <w:rFonts w:ascii="Arial" w:eastAsia="Times New Roman" w:hAnsi="Arial" w:cs="Arial"/>
          <w:lang w:eastAsia="sl-SI"/>
        </w:rPr>
        <w:t xml:space="preserve"> 2024</w:t>
      </w:r>
      <w:r>
        <w:rPr>
          <w:rFonts w:ascii="Arial" w:eastAsia="Times New Roman" w:hAnsi="Arial" w:cs="Arial"/>
          <w:lang w:eastAsia="sl-SI"/>
        </w:rPr>
        <w:t xml:space="preserve">. Pri pripravi OCPS je potrebno slediti »Nacionalnim smernicam za pripravo OCPS« in »Minimalnim standardom za izdelavo OCPS«, ki jih je izdalo oziroma predpisalo Ministrstvo za okolje, podnebje in energijo. Minimalni standardi določajo, da se namen in cilje OCPS predstavi županu in mestnemu svetu. Navedena aktivnost je predvidena v fazi zagotavljanja politične podpore, saj je politično soglasje glede potrebnosti sprememb na področju prometa ključno. </w:t>
      </w:r>
    </w:p>
    <w:p w14:paraId="26286024" w14:textId="77777777" w:rsidR="005E76E4" w:rsidRDefault="005E76E4" w:rsidP="00B53C3D">
      <w:pPr>
        <w:spacing w:after="0" w:line="240" w:lineRule="auto"/>
        <w:jc w:val="both"/>
        <w:rPr>
          <w:rFonts w:ascii="Arial" w:eastAsia="Times New Roman" w:hAnsi="Arial" w:cs="Arial"/>
          <w:lang w:eastAsia="sl-SI"/>
        </w:rPr>
      </w:pPr>
    </w:p>
    <w:p w14:paraId="628A4B46" w14:textId="7A6B5407" w:rsidR="005E76E4" w:rsidRDefault="0064319F" w:rsidP="005E76E4">
      <w:pPr>
        <w:pStyle w:val="Odstavekseznama"/>
        <w:numPr>
          <w:ilvl w:val="0"/>
          <w:numId w:val="15"/>
        </w:numPr>
        <w:jc w:val="both"/>
        <w:rPr>
          <w:rFonts w:ascii="Arial" w:eastAsia="Times New Roman" w:hAnsi="Arial" w:cs="Arial"/>
          <w:b/>
          <w:bCs/>
          <w:lang w:eastAsia="sl-SI"/>
        </w:rPr>
      </w:pPr>
      <w:r>
        <w:rPr>
          <w:rFonts w:ascii="Arial" w:eastAsia="Times New Roman" w:hAnsi="Arial" w:cs="Arial"/>
          <w:b/>
          <w:bCs/>
          <w:lang w:eastAsia="sl-SI"/>
        </w:rPr>
        <w:t>Namen, c</w:t>
      </w:r>
      <w:r w:rsidR="005E76E4" w:rsidRPr="005E76E4">
        <w:rPr>
          <w:rFonts w:ascii="Arial" w:eastAsia="Times New Roman" w:hAnsi="Arial" w:cs="Arial"/>
          <w:b/>
          <w:bCs/>
          <w:lang w:eastAsia="sl-SI"/>
        </w:rPr>
        <w:t xml:space="preserve">ilji in načela: </w:t>
      </w:r>
    </w:p>
    <w:p w14:paraId="1E343F0E" w14:textId="77777777" w:rsidR="001F42CE" w:rsidRDefault="001F42CE" w:rsidP="005E76E4">
      <w:pPr>
        <w:jc w:val="both"/>
        <w:rPr>
          <w:rFonts w:ascii="Arial" w:eastAsia="Times New Roman" w:hAnsi="Arial" w:cs="Arial"/>
          <w:lang w:eastAsia="sl-SI"/>
        </w:rPr>
      </w:pPr>
    </w:p>
    <w:p w14:paraId="486F484A" w14:textId="340AD258" w:rsidR="00C33897" w:rsidRDefault="00C33897" w:rsidP="005E76E4">
      <w:pPr>
        <w:jc w:val="both"/>
        <w:rPr>
          <w:rFonts w:ascii="Arial" w:eastAsia="Times New Roman" w:hAnsi="Arial" w:cs="Arial"/>
          <w:lang w:eastAsia="sl-SI"/>
        </w:rPr>
      </w:pPr>
      <w:r w:rsidRPr="00C33897">
        <w:rPr>
          <w:rFonts w:ascii="Arial" w:eastAsia="Times New Roman" w:hAnsi="Arial" w:cs="Arial"/>
          <w:lang w:eastAsia="sl-SI"/>
        </w:rPr>
        <w:t>Občinska celostna prometna strategija (v nadaljevanju: OCPS) je strateški dokument, s katerim občina opredeli učinkovito zaporedje ukrepov na področju prometa. Ti ukrepi so namenjeni uresničevanju celostnih sprememb in posledično izboljšanju kakovosti bivanja.</w:t>
      </w:r>
    </w:p>
    <w:p w14:paraId="01D59996" w14:textId="77777777" w:rsidR="00C33897" w:rsidRPr="00C33897" w:rsidRDefault="00C33897" w:rsidP="00C33897">
      <w:pPr>
        <w:jc w:val="both"/>
        <w:rPr>
          <w:rFonts w:ascii="Arial" w:eastAsia="Times New Roman" w:hAnsi="Arial" w:cs="Arial"/>
          <w:lang w:eastAsia="sl-SI"/>
        </w:rPr>
      </w:pPr>
      <w:r w:rsidRPr="00C33897">
        <w:rPr>
          <w:rFonts w:ascii="Arial" w:eastAsia="Times New Roman" w:hAnsi="Arial" w:cs="Arial"/>
          <w:b/>
          <w:bCs/>
          <w:lang w:eastAsia="sl-SI"/>
        </w:rPr>
        <w:t>Namen izdelave:</w:t>
      </w:r>
      <w:r w:rsidRPr="00C33897">
        <w:rPr>
          <w:rFonts w:ascii="Arial" w:eastAsia="Times New Roman" w:hAnsi="Arial" w:cs="Arial"/>
          <w:lang w:eastAsia="sl-SI"/>
        </w:rPr>
        <w:t xml:space="preserve"> Sprememba potovalnih navad v občini, izboljšanje pogojev za hojo, kolesarjenje, javni prevoz ter alternativnih oblik mobilnosti zaradi zmanjšanja obsega motornega prometa.</w:t>
      </w:r>
    </w:p>
    <w:p w14:paraId="7B11E197" w14:textId="77777777" w:rsidR="00C33897" w:rsidRPr="00C33897" w:rsidRDefault="00C33897" w:rsidP="00C33897">
      <w:pPr>
        <w:jc w:val="both"/>
        <w:rPr>
          <w:rFonts w:ascii="Arial" w:eastAsia="Times New Roman" w:hAnsi="Arial" w:cs="Arial"/>
          <w:lang w:eastAsia="sl-SI"/>
        </w:rPr>
      </w:pPr>
      <w:r w:rsidRPr="00C33897">
        <w:rPr>
          <w:rFonts w:ascii="Arial" w:eastAsia="Times New Roman" w:hAnsi="Arial" w:cs="Arial"/>
          <w:b/>
          <w:bCs/>
          <w:lang w:eastAsia="sl-SI"/>
        </w:rPr>
        <w:lastRenderedPageBreak/>
        <w:t>Neposredni cilji projekta so:</w:t>
      </w:r>
      <w:r w:rsidRPr="00C33897">
        <w:rPr>
          <w:rFonts w:ascii="Arial" w:eastAsia="Times New Roman" w:hAnsi="Arial" w:cs="Arial"/>
          <w:lang w:eastAsia="sl-SI"/>
        </w:rPr>
        <w:t xml:space="preserve"> Izboljšana kakovost življenja v privlačni, zeleni in povezani skupnosti; znižane lokalne emisije onesnaževal in toplogrednih plinov iz prometa; bolj zdravi in bolj aktivni prebivalci; vsem dostopen prometni sistem, ki omogoča socialno vključenost; okrepljeno lokalno in regionalno gospodarstvo; večja varnost vseh udeležencev cestnega prometa; izboljšana dostopnost do osnovnih storitev in aktivnosti.</w:t>
      </w:r>
    </w:p>
    <w:p w14:paraId="73160251" w14:textId="77777777" w:rsidR="00C33897" w:rsidRPr="00C33897" w:rsidRDefault="00C33897" w:rsidP="00C33897">
      <w:pPr>
        <w:jc w:val="both"/>
        <w:rPr>
          <w:rFonts w:ascii="Arial" w:eastAsia="Times New Roman" w:hAnsi="Arial" w:cs="Arial"/>
          <w:lang w:eastAsia="sl-SI"/>
        </w:rPr>
      </w:pPr>
      <w:r w:rsidRPr="00C33897">
        <w:rPr>
          <w:rFonts w:ascii="Arial" w:eastAsia="Times New Roman" w:hAnsi="Arial" w:cs="Arial"/>
          <w:b/>
          <w:bCs/>
          <w:lang w:eastAsia="sl-SI"/>
        </w:rPr>
        <w:t>Posredni cilji projekta so:</w:t>
      </w:r>
      <w:r w:rsidRPr="00C33897">
        <w:rPr>
          <w:rFonts w:ascii="Arial" w:eastAsia="Times New Roman" w:hAnsi="Arial" w:cs="Arial"/>
          <w:lang w:eastAsia="sl-SI"/>
        </w:rPr>
        <w:t xml:space="preserve"> Učinkovito naslavljanje obveznosti, kot so Direktiva o kakovosti zraka Evropske komisije ali nacionalni predpisi glede nadzora nad hrupom. Celostna obravnava področja prometa omogoča nastanek nove, celovite, premišljene, dolgoročne vizije zagotavljanja mobilnosti. Celostna prometna strategija lahko zagotovi dostop do sredstev, ki so na voljo za inovativne rešitve, in poveča konkurenčnost občine pri prijavah na razpise za nacionalna in evropska finančna sredstva.</w:t>
      </w:r>
    </w:p>
    <w:p w14:paraId="7059B4D9" w14:textId="703524EF" w:rsidR="005E76E4" w:rsidRPr="005E76E4" w:rsidRDefault="005E76E4" w:rsidP="005E76E4">
      <w:pPr>
        <w:jc w:val="both"/>
        <w:rPr>
          <w:rFonts w:ascii="Arial" w:eastAsia="Times New Roman" w:hAnsi="Arial" w:cs="Arial"/>
          <w:lang w:eastAsia="sl-SI"/>
        </w:rPr>
      </w:pPr>
      <w:r w:rsidRPr="005E76E4">
        <w:rPr>
          <w:rFonts w:ascii="Arial" w:eastAsia="Times New Roman" w:hAnsi="Arial" w:cs="Arial"/>
          <w:lang w:eastAsia="sl-SI"/>
        </w:rPr>
        <w:t xml:space="preserve">OCPS mora biti izdelana skladno z Zakonom o celostnem prometnem načrtovanju, Pravilnikom o vsebini, obliki, načinu priprave, odstotku in višini sofinanciranja OCPS, načinu spremljanja in merilih za presojo kakovosti, enotnih kazalnikih, metodologiji ter o informacijski podpori in poročanju, Nacionalnimi smernicami za pripravo OCPS in Minimalnimi standardi za izdelavo OCPS. </w:t>
      </w:r>
    </w:p>
    <w:p w14:paraId="7526F85D" w14:textId="77777777" w:rsidR="005E76E4" w:rsidRPr="005E76E4" w:rsidRDefault="005E76E4" w:rsidP="005E76E4">
      <w:pPr>
        <w:jc w:val="both"/>
        <w:rPr>
          <w:rFonts w:ascii="Arial" w:eastAsia="Times New Roman" w:hAnsi="Arial" w:cs="Arial"/>
          <w:lang w:eastAsia="sl-SI"/>
        </w:rPr>
      </w:pPr>
      <w:r w:rsidRPr="005E76E4">
        <w:rPr>
          <w:rFonts w:ascii="Arial" w:eastAsia="Times New Roman" w:hAnsi="Arial" w:cs="Arial"/>
          <w:lang w:eastAsia="sl-SI"/>
        </w:rPr>
        <w:t xml:space="preserve">Pristop, ki ga narekujejo Smernice, se razlikuje od izdelave običajnih prometnih načrtov. Začne se z opredelitvijo vizije in ciljev občine na področju prometa, se nadaljuje z usmerjeno analizo obstoječega stanja in šele na podlagi naštetega predlaga ukrepe, tesno vezane na uresničevanje vizije in doseganje zastavljenih ciljev. Pri izboru ukrepov imajo prednost mehki ukrepi, ki ne vključujejo gradnje, in trajnostni potovalni načini, ki nadomeščajo uporabo avtomobilov. Če slednji ne rešijo težav, pristopamo k reševanju infrastrukturnih rešitev. </w:t>
      </w:r>
    </w:p>
    <w:p w14:paraId="3A577B8E" w14:textId="26FF6186" w:rsidR="005E76E4" w:rsidRPr="005E76E4" w:rsidRDefault="005E76E4" w:rsidP="005E76E4">
      <w:pPr>
        <w:jc w:val="both"/>
        <w:rPr>
          <w:rFonts w:ascii="Arial" w:eastAsia="Times New Roman" w:hAnsi="Arial" w:cs="Arial"/>
          <w:lang w:eastAsia="sl-SI"/>
        </w:rPr>
      </w:pPr>
      <w:r w:rsidRPr="005E76E4">
        <w:rPr>
          <w:rFonts w:ascii="Arial" w:eastAsia="Times New Roman" w:hAnsi="Arial" w:cs="Arial"/>
          <w:lang w:eastAsia="sl-SI"/>
        </w:rPr>
        <w:t xml:space="preserve">Priprava dokumenta je sestavljena iz </w:t>
      </w:r>
      <w:r>
        <w:rPr>
          <w:rFonts w:ascii="Arial" w:eastAsia="Times New Roman" w:hAnsi="Arial" w:cs="Arial"/>
          <w:lang w:eastAsia="sl-SI"/>
        </w:rPr>
        <w:t>7</w:t>
      </w:r>
      <w:r w:rsidRPr="005E76E4">
        <w:rPr>
          <w:rFonts w:ascii="Arial" w:eastAsia="Times New Roman" w:hAnsi="Arial" w:cs="Arial"/>
          <w:lang w:eastAsia="sl-SI"/>
        </w:rPr>
        <w:t xml:space="preserve"> sklopov; sklop A: ureditev pogojev za delo, sklop B: vzpostavitev procesa, sklop C: oris želenega stanja, sklop D: analiza obstoječega stanja, sklop E: opredelitev smeri ukrepanja</w:t>
      </w:r>
      <w:r>
        <w:rPr>
          <w:rFonts w:ascii="Arial" w:eastAsia="Times New Roman" w:hAnsi="Arial" w:cs="Arial"/>
          <w:lang w:eastAsia="sl-SI"/>
        </w:rPr>
        <w:t xml:space="preserve">, </w:t>
      </w:r>
      <w:r w:rsidRPr="005E76E4">
        <w:rPr>
          <w:rFonts w:ascii="Arial" w:eastAsia="Times New Roman" w:hAnsi="Arial" w:cs="Arial"/>
          <w:lang w:eastAsia="sl-SI"/>
        </w:rPr>
        <w:t>sklop F: priprava in potrditev strategije</w:t>
      </w:r>
      <w:r>
        <w:rPr>
          <w:rFonts w:ascii="Arial" w:eastAsia="Times New Roman" w:hAnsi="Arial" w:cs="Arial"/>
          <w:lang w:eastAsia="sl-SI"/>
        </w:rPr>
        <w:t>, sklop G: izvajanje strategije</w:t>
      </w:r>
      <w:r w:rsidRPr="005E76E4">
        <w:rPr>
          <w:rFonts w:ascii="Arial" w:eastAsia="Times New Roman" w:hAnsi="Arial" w:cs="Arial"/>
          <w:lang w:eastAsia="sl-SI"/>
        </w:rPr>
        <w:t>. S sprejetjem OCPS na</w:t>
      </w:r>
      <w:r>
        <w:rPr>
          <w:rFonts w:ascii="Arial" w:eastAsia="Times New Roman" w:hAnsi="Arial" w:cs="Arial"/>
          <w:lang w:eastAsia="sl-SI"/>
        </w:rPr>
        <w:t xml:space="preserve"> mestnem svetu </w:t>
      </w:r>
      <w:r w:rsidRPr="005E76E4">
        <w:rPr>
          <w:rFonts w:ascii="Arial" w:eastAsia="Times New Roman" w:hAnsi="Arial" w:cs="Arial"/>
          <w:lang w:eastAsia="sl-SI"/>
        </w:rPr>
        <w:t xml:space="preserve">bo </w:t>
      </w:r>
      <w:r>
        <w:rPr>
          <w:rFonts w:ascii="Arial" w:eastAsia="Times New Roman" w:hAnsi="Arial" w:cs="Arial"/>
          <w:lang w:eastAsia="sl-SI"/>
        </w:rPr>
        <w:t>MONG</w:t>
      </w:r>
      <w:r w:rsidRPr="005E76E4">
        <w:rPr>
          <w:rFonts w:ascii="Arial" w:eastAsia="Times New Roman" w:hAnsi="Arial" w:cs="Arial"/>
          <w:lang w:eastAsia="sl-SI"/>
        </w:rPr>
        <w:t xml:space="preserve"> izpolnila tudi obvezen pogoj za kandidiranje za javna sredstva za sofinanciranje bodočih ukrepov na področju mobilnosti. </w:t>
      </w:r>
    </w:p>
    <w:p w14:paraId="0A2A0A96" w14:textId="77777777" w:rsidR="00AF21A5" w:rsidRDefault="005E76E4" w:rsidP="00AF21A5">
      <w:pPr>
        <w:jc w:val="both"/>
        <w:rPr>
          <w:rFonts w:ascii="Arial" w:eastAsia="Times New Roman" w:hAnsi="Arial" w:cs="Arial"/>
          <w:lang w:eastAsia="sl-SI"/>
        </w:rPr>
      </w:pPr>
      <w:r w:rsidRPr="005E76E4">
        <w:rPr>
          <w:rFonts w:ascii="Arial" w:eastAsia="Times New Roman" w:hAnsi="Arial" w:cs="Arial"/>
          <w:lang w:eastAsia="sl-SI"/>
        </w:rPr>
        <w:t>V postopku izdelave bodo z namenom celostne obravnave izzivov na področju prometa, razvojnih priložnosti in potencialov občine k sodelovanju poleg predstavnikov občinske uprave in strokovne javnosti večkrat vabljeni tudi občanke in občani. Potekale bodo številne delavnice in javne razprave, mnenja pa bodo zbrana tudi s pomočjo anket in intervjujev. Prizadevali si bomo vključiti čim širši krog občank in občanov z uporabo sodobnih metod vključevanja javnosti. Vabimo vse, da se v čim večji meri vključujejo v proces priprave občinske celostne prometne strategije.</w:t>
      </w:r>
    </w:p>
    <w:p w14:paraId="29B5E13F" w14:textId="77777777" w:rsidR="00AF21A5" w:rsidRDefault="005E76E4" w:rsidP="00AF21A5">
      <w:pPr>
        <w:spacing w:after="0" w:line="240" w:lineRule="auto"/>
        <w:jc w:val="both"/>
        <w:rPr>
          <w:rFonts w:ascii="Arial" w:eastAsia="Times New Roman" w:hAnsi="Arial" w:cs="Arial"/>
          <w:b/>
          <w:bCs/>
          <w:lang w:eastAsia="sl-SI"/>
        </w:rPr>
      </w:pPr>
      <w:r w:rsidRPr="005E76E4">
        <w:rPr>
          <w:rFonts w:ascii="Arial" w:eastAsia="Times New Roman" w:hAnsi="Arial" w:cs="Arial"/>
          <w:b/>
          <w:bCs/>
          <w:lang w:eastAsia="sl-SI"/>
        </w:rPr>
        <w:t xml:space="preserve"> </w:t>
      </w:r>
    </w:p>
    <w:p w14:paraId="2F019069" w14:textId="4DED7532" w:rsidR="005E76E4" w:rsidRPr="00AF21A5" w:rsidRDefault="005E76E4" w:rsidP="00AF21A5">
      <w:pPr>
        <w:pStyle w:val="Odstavekseznama"/>
        <w:numPr>
          <w:ilvl w:val="0"/>
          <w:numId w:val="15"/>
        </w:numPr>
        <w:jc w:val="both"/>
        <w:rPr>
          <w:rFonts w:ascii="Arial" w:eastAsia="Times New Roman" w:hAnsi="Arial" w:cs="Arial"/>
          <w:b/>
          <w:bCs/>
          <w:lang w:eastAsia="sl-SI"/>
        </w:rPr>
      </w:pPr>
      <w:r w:rsidRPr="00AF21A5">
        <w:rPr>
          <w:rFonts w:ascii="Arial" w:eastAsia="Times New Roman" w:hAnsi="Arial" w:cs="Arial"/>
          <w:b/>
          <w:bCs/>
          <w:lang w:eastAsia="sl-SI"/>
        </w:rPr>
        <w:t xml:space="preserve">Ocena finančnih posledic: </w:t>
      </w:r>
    </w:p>
    <w:p w14:paraId="11F25A69" w14:textId="77777777" w:rsidR="00AF21A5" w:rsidRDefault="00AF21A5" w:rsidP="005E76E4">
      <w:pPr>
        <w:jc w:val="both"/>
        <w:rPr>
          <w:rFonts w:ascii="Arial" w:eastAsia="Times New Roman" w:hAnsi="Arial" w:cs="Arial"/>
          <w:lang w:eastAsia="sl-SI"/>
        </w:rPr>
      </w:pPr>
    </w:p>
    <w:p w14:paraId="4513FD11" w14:textId="7845343F" w:rsidR="005E76E4" w:rsidRPr="005E76E4" w:rsidRDefault="00DC6C7E" w:rsidP="005E76E4">
      <w:pPr>
        <w:jc w:val="both"/>
        <w:rPr>
          <w:rFonts w:ascii="Arial" w:eastAsia="Times New Roman" w:hAnsi="Arial" w:cs="Arial"/>
          <w:lang w:eastAsia="sl-SI"/>
        </w:rPr>
      </w:pPr>
      <w:r>
        <w:rPr>
          <w:rFonts w:ascii="Arial" w:eastAsia="Times New Roman" w:hAnsi="Arial" w:cs="Arial"/>
          <w:lang w:eastAsia="sl-SI"/>
        </w:rPr>
        <w:t>V</w:t>
      </w:r>
      <w:r w:rsidR="005E76E4" w:rsidRPr="005E76E4">
        <w:rPr>
          <w:rFonts w:ascii="Arial" w:eastAsia="Times New Roman" w:hAnsi="Arial" w:cs="Arial"/>
          <w:lang w:eastAsia="sl-SI"/>
        </w:rPr>
        <w:t xml:space="preserve">rednost izdelave OCPS </w:t>
      </w:r>
      <w:r>
        <w:rPr>
          <w:rFonts w:ascii="Arial" w:eastAsia="Times New Roman" w:hAnsi="Arial" w:cs="Arial"/>
          <w:lang w:eastAsia="sl-SI"/>
        </w:rPr>
        <w:t>znaša</w:t>
      </w:r>
      <w:r w:rsidR="005E76E4" w:rsidRPr="005E76E4">
        <w:rPr>
          <w:rFonts w:ascii="Arial" w:eastAsia="Times New Roman" w:hAnsi="Arial" w:cs="Arial"/>
          <w:lang w:eastAsia="sl-SI"/>
        </w:rPr>
        <w:t xml:space="preserve"> </w:t>
      </w:r>
      <w:r w:rsidR="00347A6C">
        <w:rPr>
          <w:rFonts w:ascii="Arial" w:eastAsia="Times New Roman" w:hAnsi="Arial" w:cs="Arial"/>
          <w:lang w:eastAsia="sl-SI"/>
        </w:rPr>
        <w:t>87.</w:t>
      </w:r>
      <w:r w:rsidR="00F16770">
        <w:rPr>
          <w:rFonts w:ascii="Arial" w:eastAsia="Times New Roman" w:hAnsi="Arial" w:cs="Arial"/>
          <w:lang w:eastAsia="sl-SI"/>
        </w:rPr>
        <w:t>840,00 EUR z DDV</w:t>
      </w:r>
      <w:r w:rsidR="005E76E4" w:rsidRPr="005E76E4">
        <w:rPr>
          <w:rFonts w:ascii="Arial" w:eastAsia="Times New Roman" w:hAnsi="Arial" w:cs="Arial"/>
          <w:lang w:eastAsia="sl-SI"/>
        </w:rPr>
        <w:t xml:space="preserve">. Projekt je sofinanciran s sredstvi evropske kohezijske politike iz Kohezijskega sklada v višini </w:t>
      </w:r>
      <w:r w:rsidR="008C4F89" w:rsidRPr="008C4F89">
        <w:rPr>
          <w:rFonts w:ascii="Arial" w:eastAsia="Times New Roman" w:hAnsi="Arial" w:cs="Arial"/>
          <w:lang w:eastAsia="sl-SI"/>
        </w:rPr>
        <w:t xml:space="preserve">61.600,00 </w:t>
      </w:r>
      <w:r w:rsidR="005E76E4" w:rsidRPr="005E76E4">
        <w:rPr>
          <w:rFonts w:ascii="Arial" w:eastAsia="Times New Roman" w:hAnsi="Arial" w:cs="Arial"/>
          <w:lang w:eastAsia="sl-SI"/>
        </w:rPr>
        <w:t>€</w:t>
      </w:r>
      <w:r w:rsidR="00210DEF">
        <w:rPr>
          <w:rFonts w:ascii="Arial" w:eastAsia="Times New Roman" w:hAnsi="Arial" w:cs="Arial"/>
          <w:lang w:eastAsia="sl-SI"/>
        </w:rPr>
        <w:t xml:space="preserve">. </w:t>
      </w:r>
    </w:p>
    <w:p w14:paraId="280B28B0" w14:textId="77777777" w:rsidR="00B53C3D" w:rsidRPr="00B53C3D" w:rsidRDefault="00B53C3D" w:rsidP="00B53C3D">
      <w:pPr>
        <w:spacing w:after="0" w:line="240" w:lineRule="auto"/>
        <w:jc w:val="both"/>
        <w:rPr>
          <w:rFonts w:ascii="Arial" w:eastAsia="Times New Roman" w:hAnsi="Arial" w:cs="Arial"/>
          <w:lang w:eastAsia="sl-SI"/>
        </w:rPr>
      </w:pPr>
    </w:p>
    <w:p w14:paraId="585AE1EB" w14:textId="77777777" w:rsidR="004A3E7E" w:rsidRPr="00E30B3D" w:rsidRDefault="004A3E7E" w:rsidP="003E0322">
      <w:pPr>
        <w:spacing w:after="0" w:line="240" w:lineRule="auto"/>
        <w:jc w:val="both"/>
        <w:rPr>
          <w:rFonts w:ascii="Arial" w:eastAsia="Times New Roman" w:hAnsi="Arial" w:cs="Arial"/>
          <w:lang w:eastAsia="sl-SI"/>
        </w:rPr>
      </w:pPr>
    </w:p>
    <w:p w14:paraId="42D6233C" w14:textId="77777777" w:rsidR="00E339C1" w:rsidRPr="00E339C1" w:rsidRDefault="00E339C1" w:rsidP="00E339C1">
      <w:pPr>
        <w:spacing w:after="0" w:line="240" w:lineRule="auto"/>
        <w:jc w:val="both"/>
        <w:rPr>
          <w:rFonts w:ascii="Arial" w:eastAsia="Times New Roman" w:hAnsi="Arial" w:cs="Arial"/>
          <w:lang w:eastAsia="sl-SI"/>
        </w:rPr>
      </w:pPr>
    </w:p>
    <w:p w14:paraId="2C128618" w14:textId="77777777" w:rsidR="00E339C1" w:rsidRPr="00E339C1" w:rsidRDefault="00E339C1" w:rsidP="00E339C1">
      <w:pPr>
        <w:spacing w:after="0" w:line="240" w:lineRule="auto"/>
        <w:jc w:val="both"/>
        <w:rPr>
          <w:rFonts w:ascii="Arial" w:eastAsia="Times New Roman" w:hAnsi="Arial" w:cs="Arial"/>
          <w:lang w:eastAsia="sl-SI"/>
        </w:rPr>
      </w:pPr>
      <w:r w:rsidRPr="00E339C1">
        <w:rPr>
          <w:rFonts w:ascii="Arial" w:eastAsia="Times New Roman" w:hAnsi="Arial" w:cs="Arial"/>
          <w:b/>
          <w:bCs/>
          <w:lang w:eastAsia="sl-SI"/>
        </w:rPr>
        <w:lastRenderedPageBreak/>
        <w:t>Sklopi:</w:t>
      </w:r>
      <w:r w:rsidRPr="00E339C1">
        <w:rPr>
          <w:rFonts w:ascii="Arial" w:eastAsia="Times New Roman" w:hAnsi="Arial" w:cs="Arial"/>
          <w:lang w:eastAsia="sl-SI"/>
        </w:rPr>
        <w:t xml:space="preserve"> Priprava Strategije obsega sedem sklopov aktivnosti. Posamezne sklope aktivnosti predstavljamo v teoretičnem zaporedju, vendar lahko v praksi aktivnosti potekajo vzporedno ali celo vključujejo povratne zanke.</w:t>
      </w:r>
    </w:p>
    <w:p w14:paraId="5DAF23A1" w14:textId="77777777" w:rsidR="00E339C1" w:rsidRPr="00E339C1" w:rsidRDefault="00E339C1" w:rsidP="00E339C1">
      <w:pPr>
        <w:spacing w:after="0" w:line="240" w:lineRule="auto"/>
        <w:jc w:val="both"/>
        <w:rPr>
          <w:rFonts w:ascii="Arial" w:eastAsia="Times New Roman" w:hAnsi="Arial" w:cs="Arial"/>
          <w:lang w:eastAsia="sl-SI"/>
        </w:rPr>
      </w:pPr>
    </w:p>
    <w:tbl>
      <w:tblPr>
        <w:tblStyle w:val="Tabelamrea"/>
        <w:tblW w:w="0" w:type="auto"/>
        <w:tblLook w:val="04A0" w:firstRow="1" w:lastRow="0" w:firstColumn="1" w:lastColumn="0" w:noHBand="0" w:noVBand="1"/>
      </w:tblPr>
      <w:tblGrid>
        <w:gridCol w:w="6495"/>
        <w:gridCol w:w="2225"/>
      </w:tblGrid>
      <w:tr w:rsidR="00E339C1" w:rsidRPr="00E339C1" w14:paraId="0D1E6EB6" w14:textId="77777777" w:rsidTr="00C64C9E">
        <w:tc>
          <w:tcPr>
            <w:tcW w:w="6516" w:type="dxa"/>
            <w:tcBorders>
              <w:top w:val="single" w:sz="4" w:space="0" w:color="auto"/>
              <w:left w:val="single" w:sz="4" w:space="0" w:color="auto"/>
              <w:bottom w:val="single" w:sz="4" w:space="0" w:color="auto"/>
              <w:right w:val="single" w:sz="4" w:space="0" w:color="auto"/>
            </w:tcBorders>
            <w:hideMark/>
          </w:tcPr>
          <w:p w14:paraId="22F6BA52" w14:textId="77777777" w:rsidR="00E339C1" w:rsidRPr="00E339C1" w:rsidRDefault="00E339C1" w:rsidP="00E339C1">
            <w:pPr>
              <w:jc w:val="both"/>
              <w:rPr>
                <w:rFonts w:ascii="Arial" w:eastAsia="Times New Roman" w:hAnsi="Arial" w:cs="Arial"/>
                <w:lang w:eastAsia="sl-SI"/>
              </w:rPr>
            </w:pPr>
            <w:r w:rsidRPr="00E339C1">
              <w:rPr>
                <w:rFonts w:ascii="Arial" w:eastAsia="Times New Roman" w:hAnsi="Arial" w:cs="Arial"/>
                <w:noProof/>
                <w:lang w:eastAsia="sl-SI"/>
              </w:rPr>
              <w:drawing>
                <wp:inline distT="0" distB="0" distL="0" distR="0" wp14:anchorId="2CDF8B70" wp14:editId="16F524E7">
                  <wp:extent cx="3952875" cy="4029075"/>
                  <wp:effectExtent l="0" t="0" r="0" b="0"/>
                  <wp:docPr id="97198100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clrChange>
                              <a:clrFrom>
                                <a:srgbClr val="E5F3D9"/>
                              </a:clrFrom>
                              <a:clrTo>
                                <a:srgbClr val="E5F3D9">
                                  <a:alpha val="0"/>
                                </a:srgbClr>
                              </a:clrTo>
                            </a:clrChange>
                            <a:extLst>
                              <a:ext uri="{28A0092B-C50C-407E-A947-70E740481C1C}">
                                <a14:useLocalDpi xmlns:a14="http://schemas.microsoft.com/office/drawing/2010/main" val="0"/>
                              </a:ext>
                            </a:extLst>
                          </a:blip>
                          <a:srcRect/>
                          <a:stretch>
                            <a:fillRect/>
                          </a:stretch>
                        </pic:blipFill>
                        <pic:spPr bwMode="auto">
                          <a:xfrm>
                            <a:off x="0" y="0"/>
                            <a:ext cx="3952875" cy="4029075"/>
                          </a:xfrm>
                          <a:prstGeom prst="rect">
                            <a:avLst/>
                          </a:prstGeom>
                          <a:noFill/>
                          <a:ln>
                            <a:noFill/>
                          </a:ln>
                        </pic:spPr>
                      </pic:pic>
                    </a:graphicData>
                  </a:graphic>
                </wp:inline>
              </w:drawing>
            </w:r>
          </w:p>
        </w:tc>
        <w:tc>
          <w:tcPr>
            <w:tcW w:w="2546" w:type="dxa"/>
            <w:tcBorders>
              <w:top w:val="single" w:sz="4" w:space="0" w:color="auto"/>
              <w:left w:val="single" w:sz="4" w:space="0" w:color="auto"/>
              <w:bottom w:val="single" w:sz="4" w:space="0" w:color="auto"/>
              <w:right w:val="single" w:sz="4" w:space="0" w:color="auto"/>
            </w:tcBorders>
            <w:vAlign w:val="bottom"/>
            <w:hideMark/>
          </w:tcPr>
          <w:p w14:paraId="6E56A5AA" w14:textId="77777777" w:rsidR="00E339C1" w:rsidRPr="00E339C1" w:rsidRDefault="00E339C1" w:rsidP="00E339C1">
            <w:pPr>
              <w:jc w:val="both"/>
              <w:rPr>
                <w:rFonts w:ascii="Arial" w:eastAsia="Times New Roman" w:hAnsi="Arial" w:cs="Arial"/>
                <w:lang w:eastAsia="sl-SI"/>
              </w:rPr>
            </w:pPr>
            <w:r w:rsidRPr="00E339C1">
              <w:rPr>
                <w:rFonts w:ascii="Arial" w:eastAsia="Times New Roman" w:hAnsi="Arial" w:cs="Arial"/>
                <w:lang w:eastAsia="sl-SI"/>
              </w:rPr>
              <w:t>OCPS sledi nacionalnim smernicam in je ključen dokument za dolgoročno prometno načrtovanje in pridobivanje javnih sredstev.</w:t>
            </w:r>
          </w:p>
        </w:tc>
      </w:tr>
    </w:tbl>
    <w:p w14:paraId="6389EAA5" w14:textId="77777777" w:rsidR="00E339C1" w:rsidRPr="00E339C1" w:rsidRDefault="00E339C1" w:rsidP="00E339C1">
      <w:pPr>
        <w:spacing w:after="0" w:line="240" w:lineRule="auto"/>
        <w:jc w:val="both"/>
        <w:rPr>
          <w:rFonts w:ascii="Arial" w:eastAsia="Times New Roman" w:hAnsi="Arial" w:cs="Arial"/>
          <w:lang w:eastAsia="sl-SI"/>
        </w:rPr>
      </w:pPr>
      <w:r w:rsidRPr="00E339C1">
        <w:rPr>
          <w:rFonts w:ascii="Arial" w:eastAsia="Times New Roman" w:hAnsi="Arial" w:cs="Arial"/>
          <w:lang w:eastAsia="sl-SI"/>
        </w:rPr>
        <w:t>Slika 1: Shematska predstavitev ključnih korakov priprave OCPS</w:t>
      </w:r>
    </w:p>
    <w:p w14:paraId="3CFBB46D" w14:textId="77777777" w:rsidR="00E339C1" w:rsidRPr="00E339C1" w:rsidRDefault="00E339C1" w:rsidP="00E339C1">
      <w:pPr>
        <w:spacing w:after="0" w:line="240" w:lineRule="auto"/>
        <w:jc w:val="both"/>
        <w:rPr>
          <w:rFonts w:ascii="Arial" w:eastAsia="Times New Roman" w:hAnsi="Arial" w:cs="Arial"/>
          <w:lang w:eastAsia="sl-SI"/>
        </w:rPr>
      </w:pPr>
    </w:p>
    <w:p w14:paraId="1F459670" w14:textId="77777777" w:rsidR="00E339C1" w:rsidRPr="00E339C1" w:rsidRDefault="00E339C1" w:rsidP="00E339C1">
      <w:pPr>
        <w:spacing w:after="0" w:line="240" w:lineRule="auto"/>
        <w:jc w:val="both"/>
        <w:rPr>
          <w:rFonts w:ascii="Arial" w:eastAsia="Times New Roman" w:hAnsi="Arial" w:cs="Arial"/>
          <w:lang w:eastAsia="sl-SI"/>
        </w:rPr>
      </w:pPr>
      <w:r w:rsidRPr="00E339C1">
        <w:rPr>
          <w:rFonts w:ascii="Arial" w:eastAsia="Times New Roman" w:hAnsi="Arial" w:cs="Arial"/>
          <w:b/>
          <w:bCs/>
          <w:lang w:eastAsia="sl-SI"/>
        </w:rPr>
        <w:t>Časovni načrt:</w:t>
      </w:r>
      <w:r w:rsidRPr="00E339C1">
        <w:rPr>
          <w:rFonts w:ascii="Arial" w:eastAsia="Times New Roman" w:hAnsi="Arial" w:cs="Arial"/>
          <w:lang w:eastAsia="sl-SI"/>
        </w:rPr>
        <w:t xml:space="preserve"> Strategija se je začela izdelovati septembra 2024 in bo za odločanje na seji občinskega sveta pripravljena februarja 2025.</w:t>
      </w:r>
    </w:p>
    <w:p w14:paraId="4BA8FC30" w14:textId="77777777" w:rsidR="00E339C1" w:rsidRPr="00E339C1" w:rsidRDefault="00E339C1" w:rsidP="00E339C1">
      <w:pPr>
        <w:spacing w:after="0" w:line="240" w:lineRule="auto"/>
        <w:jc w:val="both"/>
        <w:rPr>
          <w:rFonts w:ascii="Arial" w:eastAsia="Times New Roman" w:hAnsi="Arial" w:cs="Arial"/>
          <w:lang w:eastAsia="sl-SI"/>
        </w:rPr>
      </w:pPr>
    </w:p>
    <w:p w14:paraId="4972004A" w14:textId="77777777" w:rsidR="00765B10" w:rsidRDefault="00765B10" w:rsidP="003E0322">
      <w:pPr>
        <w:spacing w:after="0" w:line="240" w:lineRule="auto"/>
        <w:jc w:val="both"/>
        <w:rPr>
          <w:rFonts w:ascii="Arial" w:eastAsia="Times New Roman" w:hAnsi="Arial" w:cs="Arial"/>
          <w:b/>
          <w:bCs/>
          <w:lang w:eastAsia="sl-SI"/>
        </w:rPr>
      </w:pPr>
    </w:p>
    <w:p w14:paraId="0B06AAF2" w14:textId="595C6A97" w:rsidR="00E10B3C" w:rsidRPr="00765B10" w:rsidRDefault="00765B10" w:rsidP="003E0322">
      <w:pPr>
        <w:spacing w:after="0" w:line="240" w:lineRule="auto"/>
        <w:jc w:val="both"/>
        <w:rPr>
          <w:rFonts w:ascii="Arial" w:eastAsia="Times New Roman" w:hAnsi="Arial" w:cs="Arial"/>
          <w:b/>
          <w:bCs/>
          <w:lang w:eastAsia="sl-SI"/>
        </w:rPr>
      </w:pPr>
      <w:r w:rsidRPr="00765B10">
        <w:rPr>
          <w:rFonts w:ascii="Arial" w:eastAsia="Times New Roman" w:hAnsi="Arial" w:cs="Arial"/>
          <w:b/>
          <w:bCs/>
          <w:lang w:eastAsia="sl-SI"/>
        </w:rPr>
        <w:t>Mestnemu svetu Mestne občine Nova Gorica predlagamo, da sprejme predlagani sklep.</w:t>
      </w:r>
    </w:p>
    <w:p w14:paraId="2B52AE3A" w14:textId="77777777" w:rsidR="00E10B3C" w:rsidRDefault="00E10B3C" w:rsidP="003E0322">
      <w:pPr>
        <w:spacing w:after="0" w:line="240" w:lineRule="auto"/>
        <w:jc w:val="both"/>
        <w:rPr>
          <w:rFonts w:ascii="Arial" w:eastAsia="Times New Roman" w:hAnsi="Arial" w:cs="Arial"/>
          <w:lang w:eastAsia="sl-SI"/>
        </w:rPr>
      </w:pPr>
    </w:p>
    <w:p w14:paraId="3B8CEDF2" w14:textId="77777777" w:rsidR="00951644" w:rsidRDefault="00951644" w:rsidP="003E0322">
      <w:pPr>
        <w:spacing w:after="0" w:line="240" w:lineRule="auto"/>
        <w:jc w:val="both"/>
        <w:rPr>
          <w:rFonts w:ascii="Arial" w:eastAsia="Times New Roman" w:hAnsi="Arial" w:cs="Arial"/>
          <w:lang w:eastAsia="sl-SI"/>
        </w:rPr>
      </w:pPr>
    </w:p>
    <w:p w14:paraId="48B9CCE3" w14:textId="2A9A1042" w:rsidR="00951644" w:rsidRDefault="0085707A" w:rsidP="00951644">
      <w:pPr>
        <w:spacing w:after="0" w:line="240" w:lineRule="auto"/>
        <w:ind w:left="5664" w:firstLine="708"/>
        <w:jc w:val="both"/>
        <w:rPr>
          <w:rFonts w:ascii="Arial" w:eastAsia="Times New Roman" w:hAnsi="Arial" w:cs="Arial"/>
          <w:lang w:eastAsia="sl-SI"/>
        </w:rPr>
      </w:pPr>
      <w:r>
        <w:rPr>
          <w:rFonts w:ascii="Arial" w:eastAsia="Times New Roman" w:hAnsi="Arial" w:cs="Arial"/>
          <w:lang w:eastAsia="sl-SI"/>
        </w:rPr>
        <w:t xml:space="preserve"> </w:t>
      </w:r>
      <w:r w:rsidR="00951644" w:rsidRPr="00E30B3D">
        <w:rPr>
          <w:rFonts w:ascii="Arial" w:eastAsia="Times New Roman" w:hAnsi="Arial" w:cs="Arial"/>
          <w:lang w:eastAsia="sl-SI"/>
        </w:rPr>
        <w:t xml:space="preserve">Samo Turel                             </w:t>
      </w:r>
    </w:p>
    <w:p w14:paraId="5AA174E9" w14:textId="30CBBC98" w:rsidR="00AF21A5" w:rsidRDefault="00951644" w:rsidP="003E0322">
      <w:pPr>
        <w:spacing w:after="0" w:line="240" w:lineRule="auto"/>
        <w:jc w:val="both"/>
        <w:rPr>
          <w:rFonts w:ascii="Arial" w:eastAsia="Times New Roman" w:hAnsi="Arial" w:cs="Arial"/>
          <w:lang w:eastAsia="sl-SI"/>
        </w:rPr>
      </w:pPr>
      <w:r w:rsidRPr="00E30B3D">
        <w:rPr>
          <w:rFonts w:ascii="Arial" w:eastAsia="Times New Roman" w:hAnsi="Arial" w:cs="Arial"/>
          <w:lang w:eastAsia="sl-SI"/>
        </w:rPr>
        <w:t xml:space="preserve">                         </w:t>
      </w:r>
      <w:r>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 xml:space="preserve">   </w:t>
      </w:r>
      <w:r>
        <w:rPr>
          <w:rFonts w:ascii="Arial" w:eastAsia="Times New Roman" w:hAnsi="Arial" w:cs="Arial"/>
          <w:lang w:eastAsia="sl-SI"/>
        </w:rPr>
        <w:t xml:space="preserve"> </w:t>
      </w:r>
      <w:r w:rsidRPr="00E30B3D">
        <w:rPr>
          <w:rFonts w:ascii="Arial" w:eastAsia="Times New Roman" w:hAnsi="Arial" w:cs="Arial"/>
          <w:lang w:eastAsia="sl-SI"/>
        </w:rPr>
        <w:t>ŽUPA</w:t>
      </w:r>
      <w:r>
        <w:rPr>
          <w:rFonts w:ascii="Arial" w:eastAsia="Times New Roman" w:hAnsi="Arial" w:cs="Arial"/>
          <w:lang w:eastAsia="sl-SI"/>
        </w:rPr>
        <w:t>N</w:t>
      </w:r>
    </w:p>
    <w:p w14:paraId="0D398E6B" w14:textId="60C51DEE" w:rsidR="003E0322" w:rsidRPr="00E30B3D" w:rsidRDefault="003E0322" w:rsidP="003E0322">
      <w:pPr>
        <w:spacing w:after="0" w:line="240" w:lineRule="auto"/>
        <w:jc w:val="both"/>
        <w:rPr>
          <w:rFonts w:ascii="Arial" w:eastAsia="Times New Roman" w:hAnsi="Arial" w:cs="Arial"/>
          <w:lang w:eastAsia="sl-SI"/>
        </w:rPr>
      </w:pPr>
      <w:r w:rsidRPr="00E30B3D">
        <w:rPr>
          <w:rFonts w:ascii="Arial" w:eastAsia="Times New Roman" w:hAnsi="Arial" w:cs="Arial"/>
          <w:lang w:eastAsia="sl-SI"/>
        </w:rPr>
        <w:t>Pripravil:</w:t>
      </w:r>
    </w:p>
    <w:p w14:paraId="74196274" w14:textId="77777777" w:rsidR="003E0322" w:rsidRPr="00E30B3D" w:rsidRDefault="003E0322" w:rsidP="003D6E7A">
      <w:pPr>
        <w:spacing w:after="0" w:line="240" w:lineRule="auto"/>
        <w:jc w:val="right"/>
        <w:rPr>
          <w:rFonts w:ascii="Arial" w:eastAsia="Times New Roman" w:hAnsi="Arial" w:cs="Arial"/>
          <w:lang w:eastAsia="sl-SI"/>
        </w:rPr>
      </w:pPr>
    </w:p>
    <w:p w14:paraId="0CE2F634" w14:textId="00566453" w:rsidR="003E0322" w:rsidRPr="00E30B3D" w:rsidRDefault="005E7533" w:rsidP="003E0322">
      <w:pPr>
        <w:spacing w:after="0" w:line="240" w:lineRule="auto"/>
        <w:jc w:val="both"/>
        <w:rPr>
          <w:rFonts w:ascii="Arial" w:eastAsia="Times New Roman" w:hAnsi="Arial" w:cs="Arial"/>
          <w:lang w:eastAsia="sl-SI"/>
        </w:rPr>
      </w:pPr>
      <w:r>
        <w:rPr>
          <w:rFonts w:ascii="Arial" w:eastAsia="Times New Roman" w:hAnsi="Arial" w:cs="Arial"/>
          <w:lang w:eastAsia="sl-SI"/>
        </w:rPr>
        <w:t>Erik Lasič</w:t>
      </w:r>
      <w:r w:rsidR="003E0322" w:rsidRPr="00E30B3D">
        <w:rPr>
          <w:rFonts w:ascii="Arial" w:eastAsia="Times New Roman" w:hAnsi="Arial" w:cs="Arial"/>
          <w:lang w:eastAsia="sl-SI"/>
        </w:rPr>
        <w:t xml:space="preserve">                                                                        </w:t>
      </w:r>
      <w:r w:rsidR="0052544E" w:rsidRPr="00E30B3D">
        <w:rPr>
          <w:rFonts w:ascii="Arial" w:eastAsia="Times New Roman" w:hAnsi="Arial" w:cs="Arial"/>
          <w:lang w:eastAsia="sl-SI"/>
        </w:rPr>
        <w:t xml:space="preserve">  </w:t>
      </w:r>
      <w:r>
        <w:rPr>
          <w:rFonts w:ascii="Arial" w:eastAsia="Times New Roman" w:hAnsi="Arial" w:cs="Arial"/>
          <w:lang w:eastAsia="sl-SI"/>
        </w:rPr>
        <w:t xml:space="preserve">        </w:t>
      </w:r>
    </w:p>
    <w:p w14:paraId="7EE0025A" w14:textId="1A97F0A6" w:rsidR="005E7533" w:rsidRDefault="005E7533" w:rsidP="003E0322">
      <w:pPr>
        <w:spacing w:after="0" w:line="240" w:lineRule="auto"/>
        <w:jc w:val="both"/>
        <w:rPr>
          <w:rFonts w:ascii="Arial" w:eastAsia="Times New Roman" w:hAnsi="Arial" w:cs="Arial"/>
          <w:lang w:eastAsia="sl-SI"/>
        </w:rPr>
      </w:pPr>
      <w:r>
        <w:rPr>
          <w:rFonts w:ascii="Arial" w:eastAsia="Times New Roman" w:hAnsi="Arial" w:cs="Arial"/>
          <w:lang w:eastAsia="sl-SI"/>
        </w:rPr>
        <w:t xml:space="preserve">Vodja </w:t>
      </w:r>
      <w:r w:rsidR="00951644">
        <w:rPr>
          <w:rFonts w:ascii="Arial" w:eastAsia="Times New Roman" w:hAnsi="Arial" w:cs="Arial"/>
          <w:lang w:eastAsia="sl-SI"/>
        </w:rPr>
        <w:t>službe</w:t>
      </w:r>
      <w:r>
        <w:rPr>
          <w:rFonts w:ascii="Arial" w:eastAsia="Times New Roman" w:hAnsi="Arial" w:cs="Arial"/>
          <w:lang w:eastAsia="sl-SI"/>
        </w:rPr>
        <w:t xml:space="preserve"> za okolje</w:t>
      </w:r>
      <w:r w:rsidR="0085707A">
        <w:rPr>
          <w:rFonts w:ascii="Arial" w:eastAsia="Times New Roman" w:hAnsi="Arial" w:cs="Arial"/>
          <w:lang w:eastAsia="sl-SI"/>
        </w:rPr>
        <w:t xml:space="preserve"> in</w:t>
      </w:r>
      <w:r>
        <w:rPr>
          <w:rFonts w:ascii="Arial" w:eastAsia="Times New Roman" w:hAnsi="Arial" w:cs="Arial"/>
          <w:lang w:eastAsia="sl-SI"/>
        </w:rPr>
        <w:t xml:space="preserve"> prostor </w:t>
      </w:r>
    </w:p>
    <w:p w14:paraId="68393609" w14:textId="51F7CDAC" w:rsidR="00C82FA7" w:rsidRPr="001D1859" w:rsidRDefault="00FA4513" w:rsidP="004D7996">
      <w:pPr>
        <w:spacing w:after="0" w:line="240" w:lineRule="auto"/>
        <w:jc w:val="both"/>
        <w:rPr>
          <w:rFonts w:ascii="Arial" w:eastAsia="Times New Roman" w:hAnsi="Arial" w:cs="Arial"/>
          <w:lang w:eastAsia="sl-SI"/>
        </w:rPr>
      </w:pPr>
      <w:r>
        <w:rPr>
          <w:rFonts w:ascii="Arial" w:eastAsia="Times New Roman" w:hAnsi="Arial" w:cs="Arial"/>
          <w:lang w:eastAsia="sl-SI"/>
        </w:rPr>
        <w:tab/>
      </w:r>
    </w:p>
    <w:sectPr w:rsidR="00C82FA7" w:rsidRPr="001D1859" w:rsidSect="005C0D6C">
      <w:headerReference w:type="default" r:id="rId14"/>
      <w:footerReference w:type="default" r:id="rId15"/>
      <w:headerReference w:type="first" r:id="rId16"/>
      <w:footerReference w:type="first" r:id="rId17"/>
      <w:pgSz w:w="11906" w:h="16838" w:code="9"/>
      <w:pgMar w:top="1418" w:right="1418" w:bottom="1134"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11EC8" w14:textId="77777777" w:rsidR="009E2EEF" w:rsidRDefault="009E2EEF">
      <w:pPr>
        <w:spacing w:after="0" w:line="240" w:lineRule="auto"/>
      </w:pPr>
      <w:r>
        <w:separator/>
      </w:r>
    </w:p>
  </w:endnote>
  <w:endnote w:type="continuationSeparator" w:id="0">
    <w:p w14:paraId="3C9C3BB2" w14:textId="77777777" w:rsidR="009E2EEF" w:rsidRDefault="009E2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1E0C0" w14:textId="27DB0744" w:rsidR="008D4E2E" w:rsidRDefault="003E0322">
    <w:pPr>
      <w:pStyle w:val="Noga"/>
    </w:pPr>
    <w:r>
      <w:rPr>
        <w:noProof/>
      </w:rPr>
      <w:drawing>
        <wp:anchor distT="0" distB="0" distL="114300" distR="114300" simplePos="0" relativeHeight="251656704" behindDoc="0" locked="0" layoutInCell="1" allowOverlap="1" wp14:anchorId="00DDD985" wp14:editId="55C5FF2B">
          <wp:simplePos x="0" y="0"/>
          <wp:positionH relativeFrom="page">
            <wp:posOffset>440690</wp:posOffset>
          </wp:positionH>
          <wp:positionV relativeFrom="page">
            <wp:posOffset>9981565</wp:posOffset>
          </wp:positionV>
          <wp:extent cx="5543550" cy="314325"/>
          <wp:effectExtent l="0" t="0" r="0" b="9525"/>
          <wp:wrapTopAndBottom/>
          <wp:docPr id="1970891570" name="Slika 197089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42892" w14:textId="47182A23" w:rsidR="008D4E2E" w:rsidRDefault="003E0322">
    <w:pPr>
      <w:pStyle w:val="Noga"/>
    </w:pPr>
    <w:r>
      <w:rPr>
        <w:noProof/>
      </w:rPr>
      <w:drawing>
        <wp:anchor distT="0" distB="0" distL="114300" distR="114300" simplePos="0" relativeHeight="251658752" behindDoc="0" locked="0" layoutInCell="1" allowOverlap="1" wp14:anchorId="2E91E16D" wp14:editId="78E6BE1C">
          <wp:simplePos x="0" y="0"/>
          <wp:positionH relativeFrom="page">
            <wp:posOffset>288290</wp:posOffset>
          </wp:positionH>
          <wp:positionV relativeFrom="page">
            <wp:posOffset>9829165</wp:posOffset>
          </wp:positionV>
          <wp:extent cx="5543550" cy="314325"/>
          <wp:effectExtent l="0" t="0" r="0" b="9525"/>
          <wp:wrapTopAndBottom/>
          <wp:docPr id="908611233" name="Slika 90861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DC779" w14:textId="77777777" w:rsidR="009E2EEF" w:rsidRDefault="009E2EEF">
      <w:pPr>
        <w:spacing w:after="0" w:line="240" w:lineRule="auto"/>
      </w:pPr>
      <w:r>
        <w:separator/>
      </w:r>
    </w:p>
  </w:footnote>
  <w:footnote w:type="continuationSeparator" w:id="0">
    <w:p w14:paraId="34B8FB39" w14:textId="77777777" w:rsidR="009E2EEF" w:rsidRDefault="009E2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B9991" w14:textId="2259798A" w:rsidR="006E6075" w:rsidRDefault="006E6075">
    <w:pPr>
      <w:pStyle w:val="Glava"/>
    </w:pPr>
  </w:p>
  <w:p w14:paraId="282DF2A7" w14:textId="064F63AD" w:rsidR="006E6075" w:rsidRDefault="006E607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D59DE" w14:textId="7429D506" w:rsidR="008D4E2E" w:rsidRDefault="003E0322">
    <w:pPr>
      <w:pStyle w:val="Glava"/>
    </w:pPr>
    <w:r>
      <w:rPr>
        <w:noProof/>
      </w:rPr>
      <w:drawing>
        <wp:anchor distT="0" distB="0" distL="114300" distR="114300" simplePos="0" relativeHeight="251657728" behindDoc="0" locked="0" layoutInCell="1" allowOverlap="1" wp14:anchorId="59EE85DA" wp14:editId="3DB56D2B">
          <wp:simplePos x="0" y="0"/>
          <wp:positionH relativeFrom="page">
            <wp:posOffset>288290</wp:posOffset>
          </wp:positionH>
          <wp:positionV relativeFrom="page">
            <wp:posOffset>288290</wp:posOffset>
          </wp:positionV>
          <wp:extent cx="2371725" cy="1000125"/>
          <wp:effectExtent l="0" t="0" r="9525" b="9525"/>
          <wp:wrapTopAndBottom/>
          <wp:docPr id="797440024" name="Slika 79744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03B24"/>
    <w:multiLevelType w:val="hybridMultilevel"/>
    <w:tmpl w:val="41747EF0"/>
    <w:lvl w:ilvl="0" w:tplc="8BBAE342">
      <w:start w:val="6"/>
      <w:numFmt w:val="bullet"/>
      <w:lvlText w:val="-"/>
      <w:lvlJc w:val="left"/>
      <w:pPr>
        <w:ind w:left="1287" w:hanging="360"/>
      </w:pPr>
      <w:rPr>
        <w:rFonts w:ascii="Arial" w:eastAsia="Times New Roman" w:hAnsi="Arial" w:cs="Aria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 w15:restartNumberingAfterBreak="0">
    <w:nsid w:val="08C6472D"/>
    <w:multiLevelType w:val="hybridMultilevel"/>
    <w:tmpl w:val="AD82C9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CF0DB2"/>
    <w:multiLevelType w:val="hybridMultilevel"/>
    <w:tmpl w:val="6C0EE432"/>
    <w:lvl w:ilvl="0" w:tplc="C2EEAD78">
      <w:start w:val="1"/>
      <w:numFmt w:val="decimal"/>
      <w:lvlText w:val="%1."/>
      <w:lvlJc w:val="left"/>
      <w:pPr>
        <w:ind w:left="410" w:hanging="360"/>
      </w:pPr>
    </w:lvl>
    <w:lvl w:ilvl="1" w:tplc="04240019">
      <w:start w:val="1"/>
      <w:numFmt w:val="lowerLetter"/>
      <w:lvlText w:val="%2."/>
      <w:lvlJc w:val="left"/>
      <w:pPr>
        <w:ind w:left="1130" w:hanging="360"/>
      </w:pPr>
    </w:lvl>
    <w:lvl w:ilvl="2" w:tplc="0424001B">
      <w:start w:val="1"/>
      <w:numFmt w:val="lowerRoman"/>
      <w:lvlText w:val="%3."/>
      <w:lvlJc w:val="right"/>
      <w:pPr>
        <w:ind w:left="1850" w:hanging="180"/>
      </w:pPr>
    </w:lvl>
    <w:lvl w:ilvl="3" w:tplc="0424000F">
      <w:start w:val="1"/>
      <w:numFmt w:val="decimal"/>
      <w:lvlText w:val="%4."/>
      <w:lvlJc w:val="left"/>
      <w:pPr>
        <w:ind w:left="2570" w:hanging="360"/>
      </w:pPr>
    </w:lvl>
    <w:lvl w:ilvl="4" w:tplc="04240019">
      <w:start w:val="1"/>
      <w:numFmt w:val="lowerLetter"/>
      <w:lvlText w:val="%5."/>
      <w:lvlJc w:val="left"/>
      <w:pPr>
        <w:ind w:left="3290" w:hanging="360"/>
      </w:pPr>
    </w:lvl>
    <w:lvl w:ilvl="5" w:tplc="0424001B">
      <w:start w:val="1"/>
      <w:numFmt w:val="lowerRoman"/>
      <w:lvlText w:val="%6."/>
      <w:lvlJc w:val="right"/>
      <w:pPr>
        <w:ind w:left="4010" w:hanging="180"/>
      </w:pPr>
    </w:lvl>
    <w:lvl w:ilvl="6" w:tplc="0424000F">
      <w:start w:val="1"/>
      <w:numFmt w:val="decimal"/>
      <w:lvlText w:val="%7."/>
      <w:lvlJc w:val="left"/>
      <w:pPr>
        <w:ind w:left="4730" w:hanging="360"/>
      </w:pPr>
    </w:lvl>
    <w:lvl w:ilvl="7" w:tplc="04240019">
      <w:start w:val="1"/>
      <w:numFmt w:val="lowerLetter"/>
      <w:lvlText w:val="%8."/>
      <w:lvlJc w:val="left"/>
      <w:pPr>
        <w:ind w:left="5450" w:hanging="360"/>
      </w:pPr>
    </w:lvl>
    <w:lvl w:ilvl="8" w:tplc="0424001B">
      <w:start w:val="1"/>
      <w:numFmt w:val="lowerRoman"/>
      <w:lvlText w:val="%9."/>
      <w:lvlJc w:val="right"/>
      <w:pPr>
        <w:ind w:left="6170" w:hanging="180"/>
      </w:pPr>
    </w:lvl>
  </w:abstractNum>
  <w:abstractNum w:abstractNumId="3" w15:restartNumberingAfterBreak="0">
    <w:nsid w:val="0C816EDA"/>
    <w:multiLevelType w:val="hybridMultilevel"/>
    <w:tmpl w:val="C228F0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9930D0"/>
    <w:multiLevelType w:val="hybridMultilevel"/>
    <w:tmpl w:val="9AE4CA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DD23E9"/>
    <w:multiLevelType w:val="hybridMultilevel"/>
    <w:tmpl w:val="5B4492DC"/>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EE6423"/>
    <w:multiLevelType w:val="hybridMultilevel"/>
    <w:tmpl w:val="51A0DF7E"/>
    <w:lvl w:ilvl="0" w:tplc="BCAC9B60">
      <w:numFmt w:val="bullet"/>
      <w:lvlText w:val="-"/>
      <w:lvlJc w:val="left"/>
      <w:pPr>
        <w:ind w:left="927" w:hanging="360"/>
      </w:pPr>
      <w:rPr>
        <w:rFonts w:ascii="Arial" w:eastAsiaTheme="minorHAnsi" w:hAnsi="Arial" w:cs="Aria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1AE7521D"/>
    <w:multiLevelType w:val="hybridMultilevel"/>
    <w:tmpl w:val="0F8E1A92"/>
    <w:lvl w:ilvl="0" w:tplc="B52620BA">
      <w:start w:val="1"/>
      <w:numFmt w:val="decimal"/>
      <w:lvlText w:val="%1."/>
      <w:lvlJc w:val="left"/>
      <w:pPr>
        <w:ind w:left="780" w:hanging="720"/>
      </w:pPr>
      <w:rPr>
        <w:rFonts w:ascii="Arial" w:hAnsi="Arial"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1AC77F2"/>
    <w:multiLevelType w:val="hybridMultilevel"/>
    <w:tmpl w:val="AE6E4C5A"/>
    <w:lvl w:ilvl="0" w:tplc="E2C89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FE52275"/>
    <w:multiLevelType w:val="hybridMultilevel"/>
    <w:tmpl w:val="2DF688F0"/>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0" w15:restartNumberingAfterBreak="0">
    <w:nsid w:val="35507465"/>
    <w:multiLevelType w:val="multilevel"/>
    <w:tmpl w:val="BB2863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6F322CE"/>
    <w:multiLevelType w:val="hybridMultilevel"/>
    <w:tmpl w:val="053E9886"/>
    <w:lvl w:ilvl="0" w:tplc="F904CC9C">
      <w:start w:val="5"/>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634763C7"/>
    <w:multiLevelType w:val="hybridMultilevel"/>
    <w:tmpl w:val="1CA2C480"/>
    <w:lvl w:ilvl="0" w:tplc="99DE441A">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3" w15:restartNumberingAfterBreak="0">
    <w:nsid w:val="71202D97"/>
    <w:multiLevelType w:val="hybridMultilevel"/>
    <w:tmpl w:val="8EA27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26701057">
    <w:abstractNumId w:val="5"/>
  </w:num>
  <w:num w:numId="2" w16cid:durableId="378866710">
    <w:abstractNumId w:val="7"/>
  </w:num>
  <w:num w:numId="3" w16cid:durableId="1711027837">
    <w:abstractNumId w:val="12"/>
  </w:num>
  <w:num w:numId="4" w16cid:durableId="1772120992">
    <w:abstractNumId w:val="9"/>
  </w:num>
  <w:num w:numId="5" w16cid:durableId="1455325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8279935">
    <w:abstractNumId w:val="11"/>
  </w:num>
  <w:num w:numId="7" w16cid:durableId="1258296730">
    <w:abstractNumId w:val="2"/>
  </w:num>
  <w:num w:numId="8" w16cid:durableId="1938907325">
    <w:abstractNumId w:val="0"/>
  </w:num>
  <w:num w:numId="9" w16cid:durableId="1608611913">
    <w:abstractNumId w:val="6"/>
  </w:num>
  <w:num w:numId="10" w16cid:durableId="1500580496">
    <w:abstractNumId w:val="13"/>
  </w:num>
  <w:num w:numId="11" w16cid:durableId="1462260253">
    <w:abstractNumId w:val="8"/>
  </w:num>
  <w:num w:numId="12" w16cid:durableId="829565181">
    <w:abstractNumId w:val="10"/>
  </w:num>
  <w:num w:numId="13" w16cid:durableId="504170497">
    <w:abstractNumId w:val="4"/>
  </w:num>
  <w:num w:numId="14" w16cid:durableId="1027291058">
    <w:abstractNumId w:val="1"/>
  </w:num>
  <w:num w:numId="15" w16cid:durableId="532037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22"/>
    <w:rsid w:val="00005A49"/>
    <w:rsid w:val="0001205A"/>
    <w:rsid w:val="00015B67"/>
    <w:rsid w:val="000518D9"/>
    <w:rsid w:val="00057F0B"/>
    <w:rsid w:val="00067E59"/>
    <w:rsid w:val="000B68C8"/>
    <w:rsid w:val="000D304F"/>
    <w:rsid w:val="000F04F3"/>
    <w:rsid w:val="00133E0E"/>
    <w:rsid w:val="00134286"/>
    <w:rsid w:val="00143D9D"/>
    <w:rsid w:val="001628F5"/>
    <w:rsid w:val="00163B18"/>
    <w:rsid w:val="0016787D"/>
    <w:rsid w:val="00185797"/>
    <w:rsid w:val="00186C6D"/>
    <w:rsid w:val="001A5433"/>
    <w:rsid w:val="001C1C87"/>
    <w:rsid w:val="001D1859"/>
    <w:rsid w:val="001E0C8A"/>
    <w:rsid w:val="001E61B6"/>
    <w:rsid w:val="001F0127"/>
    <w:rsid w:val="001F34F2"/>
    <w:rsid w:val="001F42CE"/>
    <w:rsid w:val="00210D89"/>
    <w:rsid w:val="00210DEF"/>
    <w:rsid w:val="00226416"/>
    <w:rsid w:val="002277C4"/>
    <w:rsid w:val="002434A3"/>
    <w:rsid w:val="002470F0"/>
    <w:rsid w:val="002B34B3"/>
    <w:rsid w:val="002C3AA8"/>
    <w:rsid w:val="002D030B"/>
    <w:rsid w:val="002E05F4"/>
    <w:rsid w:val="00303817"/>
    <w:rsid w:val="00304DF3"/>
    <w:rsid w:val="00334353"/>
    <w:rsid w:val="00347A6C"/>
    <w:rsid w:val="0036393F"/>
    <w:rsid w:val="00363A35"/>
    <w:rsid w:val="00380464"/>
    <w:rsid w:val="003A12EA"/>
    <w:rsid w:val="003B5D1B"/>
    <w:rsid w:val="003D6E7A"/>
    <w:rsid w:val="003E0322"/>
    <w:rsid w:val="003E4727"/>
    <w:rsid w:val="00412020"/>
    <w:rsid w:val="00415249"/>
    <w:rsid w:val="0042422D"/>
    <w:rsid w:val="00430FCE"/>
    <w:rsid w:val="004328BB"/>
    <w:rsid w:val="00435F25"/>
    <w:rsid w:val="00453EAF"/>
    <w:rsid w:val="00472903"/>
    <w:rsid w:val="004A3E7E"/>
    <w:rsid w:val="004B105B"/>
    <w:rsid w:val="004C30BA"/>
    <w:rsid w:val="004C354C"/>
    <w:rsid w:val="004D23AB"/>
    <w:rsid w:val="004D7996"/>
    <w:rsid w:val="004E09F9"/>
    <w:rsid w:val="00517B46"/>
    <w:rsid w:val="00524EDA"/>
    <w:rsid w:val="0052544E"/>
    <w:rsid w:val="00540A67"/>
    <w:rsid w:val="00546396"/>
    <w:rsid w:val="0055655F"/>
    <w:rsid w:val="0056221E"/>
    <w:rsid w:val="0056388D"/>
    <w:rsid w:val="0057420C"/>
    <w:rsid w:val="00581283"/>
    <w:rsid w:val="00586EB5"/>
    <w:rsid w:val="005A6844"/>
    <w:rsid w:val="005B3EC0"/>
    <w:rsid w:val="005B695C"/>
    <w:rsid w:val="005C0D6C"/>
    <w:rsid w:val="005C179A"/>
    <w:rsid w:val="005C74DB"/>
    <w:rsid w:val="005D1D6E"/>
    <w:rsid w:val="005E17F2"/>
    <w:rsid w:val="005E7533"/>
    <w:rsid w:val="005E76E4"/>
    <w:rsid w:val="005F58C0"/>
    <w:rsid w:val="00600187"/>
    <w:rsid w:val="00622B20"/>
    <w:rsid w:val="006366D3"/>
    <w:rsid w:val="0064319F"/>
    <w:rsid w:val="00655645"/>
    <w:rsid w:val="00681FCF"/>
    <w:rsid w:val="006B1706"/>
    <w:rsid w:val="006B24EF"/>
    <w:rsid w:val="006D27CB"/>
    <w:rsid w:val="006E1214"/>
    <w:rsid w:val="006E6075"/>
    <w:rsid w:val="00737D8E"/>
    <w:rsid w:val="007539BC"/>
    <w:rsid w:val="00765B10"/>
    <w:rsid w:val="00785FED"/>
    <w:rsid w:val="00786613"/>
    <w:rsid w:val="007A197E"/>
    <w:rsid w:val="007A6784"/>
    <w:rsid w:val="007A7478"/>
    <w:rsid w:val="007B3A03"/>
    <w:rsid w:val="007D16F1"/>
    <w:rsid w:val="007D4EDA"/>
    <w:rsid w:val="007E2361"/>
    <w:rsid w:val="007E595D"/>
    <w:rsid w:val="007E6D07"/>
    <w:rsid w:val="007F0849"/>
    <w:rsid w:val="008001AA"/>
    <w:rsid w:val="00810CA8"/>
    <w:rsid w:val="0081269C"/>
    <w:rsid w:val="00824A87"/>
    <w:rsid w:val="0083630A"/>
    <w:rsid w:val="0084570C"/>
    <w:rsid w:val="00847BB9"/>
    <w:rsid w:val="00851D80"/>
    <w:rsid w:val="008531EB"/>
    <w:rsid w:val="00853ED0"/>
    <w:rsid w:val="00855A6B"/>
    <w:rsid w:val="0085707A"/>
    <w:rsid w:val="00857D31"/>
    <w:rsid w:val="00860496"/>
    <w:rsid w:val="0088660C"/>
    <w:rsid w:val="0089734B"/>
    <w:rsid w:val="008A073D"/>
    <w:rsid w:val="008A0A85"/>
    <w:rsid w:val="008A3E51"/>
    <w:rsid w:val="008B0716"/>
    <w:rsid w:val="008C0F3E"/>
    <w:rsid w:val="008C1D0F"/>
    <w:rsid w:val="008C4F89"/>
    <w:rsid w:val="008D4E2E"/>
    <w:rsid w:val="008D5350"/>
    <w:rsid w:val="008E6272"/>
    <w:rsid w:val="00907658"/>
    <w:rsid w:val="00910EC1"/>
    <w:rsid w:val="00912496"/>
    <w:rsid w:val="009206E1"/>
    <w:rsid w:val="009253A6"/>
    <w:rsid w:val="009268C2"/>
    <w:rsid w:val="00927D32"/>
    <w:rsid w:val="00943F8E"/>
    <w:rsid w:val="00951644"/>
    <w:rsid w:val="009601CC"/>
    <w:rsid w:val="00970673"/>
    <w:rsid w:val="0097388B"/>
    <w:rsid w:val="0098248A"/>
    <w:rsid w:val="00986D8D"/>
    <w:rsid w:val="00991886"/>
    <w:rsid w:val="009A4810"/>
    <w:rsid w:val="009A7AFB"/>
    <w:rsid w:val="009B71D7"/>
    <w:rsid w:val="009D7F02"/>
    <w:rsid w:val="009E2EEF"/>
    <w:rsid w:val="009E63B7"/>
    <w:rsid w:val="00A34EFE"/>
    <w:rsid w:val="00A41339"/>
    <w:rsid w:val="00A43250"/>
    <w:rsid w:val="00A605C2"/>
    <w:rsid w:val="00A74FC6"/>
    <w:rsid w:val="00AB100F"/>
    <w:rsid w:val="00AB47C9"/>
    <w:rsid w:val="00AD3C3A"/>
    <w:rsid w:val="00AE33F9"/>
    <w:rsid w:val="00AF21A5"/>
    <w:rsid w:val="00B40DCD"/>
    <w:rsid w:val="00B53C3D"/>
    <w:rsid w:val="00B6306F"/>
    <w:rsid w:val="00B719B6"/>
    <w:rsid w:val="00B71B75"/>
    <w:rsid w:val="00B72FE1"/>
    <w:rsid w:val="00B74CD4"/>
    <w:rsid w:val="00BA5AF7"/>
    <w:rsid w:val="00BF7085"/>
    <w:rsid w:val="00C076BC"/>
    <w:rsid w:val="00C17A74"/>
    <w:rsid w:val="00C24020"/>
    <w:rsid w:val="00C31773"/>
    <w:rsid w:val="00C33897"/>
    <w:rsid w:val="00C37F0B"/>
    <w:rsid w:val="00C4780B"/>
    <w:rsid w:val="00C57DF4"/>
    <w:rsid w:val="00C62F7B"/>
    <w:rsid w:val="00C6507C"/>
    <w:rsid w:val="00C82FA7"/>
    <w:rsid w:val="00C963CD"/>
    <w:rsid w:val="00CC037E"/>
    <w:rsid w:val="00CF3916"/>
    <w:rsid w:val="00D11815"/>
    <w:rsid w:val="00D46332"/>
    <w:rsid w:val="00D62B4E"/>
    <w:rsid w:val="00D67910"/>
    <w:rsid w:val="00D75C68"/>
    <w:rsid w:val="00D95330"/>
    <w:rsid w:val="00DA305B"/>
    <w:rsid w:val="00DA6ED3"/>
    <w:rsid w:val="00DC6C7E"/>
    <w:rsid w:val="00DF6838"/>
    <w:rsid w:val="00E10B3C"/>
    <w:rsid w:val="00E131EF"/>
    <w:rsid w:val="00E2713C"/>
    <w:rsid w:val="00E30B3D"/>
    <w:rsid w:val="00E339C1"/>
    <w:rsid w:val="00E44012"/>
    <w:rsid w:val="00E75083"/>
    <w:rsid w:val="00E80736"/>
    <w:rsid w:val="00E92CF4"/>
    <w:rsid w:val="00EB77B2"/>
    <w:rsid w:val="00EC6947"/>
    <w:rsid w:val="00EF08DA"/>
    <w:rsid w:val="00EF1D6B"/>
    <w:rsid w:val="00EF3832"/>
    <w:rsid w:val="00F0348B"/>
    <w:rsid w:val="00F16770"/>
    <w:rsid w:val="00F65B6C"/>
    <w:rsid w:val="00FA4513"/>
    <w:rsid w:val="00FC09AC"/>
    <w:rsid w:val="00FC6E09"/>
    <w:rsid w:val="00FE47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781144"/>
  <w15:chartTrackingRefBased/>
  <w15:docId w15:val="{F88B8396-2DDD-4E51-9E1E-EAFAC54C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82FA7"/>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3E0322"/>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uiPriority w:val="99"/>
    <w:rsid w:val="003E0322"/>
    <w:rPr>
      <w:rFonts w:ascii="Times New Roman" w:eastAsia="Times New Roman" w:hAnsi="Times New Roman" w:cs="Times New Roman"/>
      <w:sz w:val="24"/>
      <w:szCs w:val="24"/>
      <w:lang w:eastAsia="sl-SI"/>
    </w:rPr>
  </w:style>
  <w:style w:type="paragraph" w:styleId="Noga">
    <w:name w:val="footer"/>
    <w:basedOn w:val="Navaden"/>
    <w:link w:val="NogaZnak"/>
    <w:rsid w:val="003E0322"/>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3E0322"/>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E44012"/>
    <w:rPr>
      <w:color w:val="0563C1"/>
      <w:u w:val="single"/>
    </w:rPr>
  </w:style>
  <w:style w:type="paragraph" w:styleId="Revizija">
    <w:name w:val="Revision"/>
    <w:hidden/>
    <w:uiPriority w:val="99"/>
    <w:semiHidden/>
    <w:rsid w:val="001628F5"/>
    <w:pPr>
      <w:spacing w:after="0" w:line="240" w:lineRule="auto"/>
    </w:pPr>
  </w:style>
  <w:style w:type="character" w:styleId="Pripombasklic">
    <w:name w:val="annotation reference"/>
    <w:basedOn w:val="Privzetapisavaodstavka"/>
    <w:uiPriority w:val="99"/>
    <w:semiHidden/>
    <w:unhideWhenUsed/>
    <w:rsid w:val="001628F5"/>
    <w:rPr>
      <w:sz w:val="16"/>
      <w:szCs w:val="16"/>
    </w:rPr>
  </w:style>
  <w:style w:type="paragraph" w:styleId="Pripombabesedilo">
    <w:name w:val="annotation text"/>
    <w:basedOn w:val="Navaden"/>
    <w:link w:val="PripombabesediloZnak"/>
    <w:uiPriority w:val="99"/>
    <w:unhideWhenUsed/>
    <w:rsid w:val="001628F5"/>
    <w:pPr>
      <w:spacing w:line="240" w:lineRule="auto"/>
    </w:pPr>
    <w:rPr>
      <w:sz w:val="20"/>
      <w:szCs w:val="20"/>
    </w:rPr>
  </w:style>
  <w:style w:type="character" w:customStyle="1" w:styleId="PripombabesediloZnak">
    <w:name w:val="Pripomba – besedilo Znak"/>
    <w:basedOn w:val="Privzetapisavaodstavka"/>
    <w:link w:val="Pripombabesedilo"/>
    <w:uiPriority w:val="99"/>
    <w:rsid w:val="001628F5"/>
    <w:rPr>
      <w:sz w:val="20"/>
      <w:szCs w:val="20"/>
    </w:rPr>
  </w:style>
  <w:style w:type="paragraph" w:styleId="Zadevapripombe">
    <w:name w:val="annotation subject"/>
    <w:basedOn w:val="Pripombabesedilo"/>
    <w:next w:val="Pripombabesedilo"/>
    <w:link w:val="ZadevapripombeZnak"/>
    <w:uiPriority w:val="99"/>
    <w:semiHidden/>
    <w:unhideWhenUsed/>
    <w:rsid w:val="001628F5"/>
    <w:rPr>
      <w:b/>
      <w:bCs/>
    </w:rPr>
  </w:style>
  <w:style w:type="character" w:customStyle="1" w:styleId="ZadevapripombeZnak">
    <w:name w:val="Zadeva pripombe Znak"/>
    <w:basedOn w:val="PripombabesediloZnak"/>
    <w:link w:val="Zadevapripombe"/>
    <w:uiPriority w:val="99"/>
    <w:semiHidden/>
    <w:rsid w:val="001628F5"/>
    <w:rPr>
      <w:b/>
      <w:bCs/>
      <w:sz w:val="20"/>
      <w:szCs w:val="20"/>
    </w:rPr>
  </w:style>
  <w:style w:type="paragraph" w:customStyle="1" w:styleId="m5188549249184278759msolistparagraph">
    <w:name w:val="m_5188549249184278759msolistparagraph"/>
    <w:basedOn w:val="Navaden"/>
    <w:rsid w:val="00A41339"/>
    <w:pPr>
      <w:spacing w:before="100" w:beforeAutospacing="1" w:after="100" w:afterAutospacing="1" w:line="240" w:lineRule="auto"/>
    </w:pPr>
    <w:rPr>
      <w:rFonts w:ascii="Calibri" w:hAnsi="Calibri" w:cs="Calibri"/>
      <w:lang w:eastAsia="sl-SI"/>
    </w:rPr>
  </w:style>
  <w:style w:type="character" w:customStyle="1" w:styleId="m5188549249184278759normaltextrun">
    <w:name w:val="m_5188549249184278759normaltextrun"/>
    <w:basedOn w:val="Privzetapisavaodstavka"/>
    <w:rsid w:val="00A41339"/>
  </w:style>
  <w:style w:type="paragraph" w:styleId="Odstavekseznama">
    <w:name w:val="List Paragraph"/>
    <w:basedOn w:val="Navaden"/>
    <w:uiPriority w:val="34"/>
    <w:qFormat/>
    <w:rsid w:val="004B105B"/>
    <w:pPr>
      <w:spacing w:after="0" w:line="240" w:lineRule="auto"/>
      <w:ind w:left="720"/>
    </w:pPr>
    <w:rPr>
      <w:rFonts w:ascii="Calibri" w:hAnsi="Calibri" w:cs="Calibri"/>
    </w:rPr>
  </w:style>
  <w:style w:type="paragraph" w:styleId="Brezrazmikov">
    <w:name w:val="No Spacing"/>
    <w:basedOn w:val="Navaden"/>
    <w:uiPriority w:val="1"/>
    <w:qFormat/>
    <w:rsid w:val="00E92CF4"/>
    <w:pPr>
      <w:spacing w:after="0" w:line="240" w:lineRule="auto"/>
    </w:pPr>
    <w:rPr>
      <w:rFonts w:ascii="Calibri" w:hAnsi="Calibri" w:cs="Calibri"/>
      <w:lang w:eastAsia="zh-CN"/>
    </w:rPr>
  </w:style>
  <w:style w:type="character" w:styleId="Nerazreenaomemba">
    <w:name w:val="Unresolved Mention"/>
    <w:basedOn w:val="Privzetapisavaodstavka"/>
    <w:uiPriority w:val="99"/>
    <w:semiHidden/>
    <w:unhideWhenUsed/>
    <w:rsid w:val="00B53C3D"/>
    <w:rPr>
      <w:color w:val="605E5C"/>
      <w:shd w:val="clear" w:color="auto" w:fill="E1DFDD"/>
    </w:rPr>
  </w:style>
  <w:style w:type="table" w:styleId="Tabelamrea">
    <w:name w:val="Table Grid"/>
    <w:basedOn w:val="Navadnatabela"/>
    <w:uiPriority w:val="39"/>
    <w:rsid w:val="00E33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98844">
      <w:bodyDiv w:val="1"/>
      <w:marLeft w:val="0"/>
      <w:marRight w:val="0"/>
      <w:marTop w:val="0"/>
      <w:marBottom w:val="0"/>
      <w:divBdr>
        <w:top w:val="none" w:sz="0" w:space="0" w:color="auto"/>
        <w:left w:val="none" w:sz="0" w:space="0" w:color="auto"/>
        <w:bottom w:val="none" w:sz="0" w:space="0" w:color="auto"/>
        <w:right w:val="none" w:sz="0" w:space="0" w:color="auto"/>
      </w:divBdr>
    </w:div>
    <w:div w:id="1375303331">
      <w:bodyDiv w:val="1"/>
      <w:marLeft w:val="0"/>
      <w:marRight w:val="0"/>
      <w:marTop w:val="0"/>
      <w:marBottom w:val="0"/>
      <w:divBdr>
        <w:top w:val="none" w:sz="0" w:space="0" w:color="auto"/>
        <w:left w:val="none" w:sz="0" w:space="0" w:color="auto"/>
        <w:bottom w:val="none" w:sz="0" w:space="0" w:color="auto"/>
        <w:right w:val="none" w:sz="0" w:space="0" w:color="auto"/>
      </w:divBdr>
    </w:div>
    <w:div w:id="1543251673">
      <w:bodyDiv w:val="1"/>
      <w:marLeft w:val="0"/>
      <w:marRight w:val="0"/>
      <w:marTop w:val="0"/>
      <w:marBottom w:val="0"/>
      <w:divBdr>
        <w:top w:val="none" w:sz="0" w:space="0" w:color="auto"/>
        <w:left w:val="none" w:sz="0" w:space="0" w:color="auto"/>
        <w:bottom w:val="none" w:sz="0" w:space="0" w:color="auto"/>
        <w:right w:val="none" w:sz="0" w:space="0" w:color="auto"/>
      </w:divBdr>
    </w:div>
    <w:div w:id="1608735578">
      <w:bodyDiv w:val="1"/>
      <w:marLeft w:val="0"/>
      <w:marRight w:val="0"/>
      <w:marTop w:val="0"/>
      <w:marBottom w:val="0"/>
      <w:divBdr>
        <w:top w:val="none" w:sz="0" w:space="0" w:color="auto"/>
        <w:left w:val="none" w:sz="0" w:space="0" w:color="auto"/>
        <w:bottom w:val="none" w:sz="0" w:space="0" w:color="auto"/>
        <w:right w:val="none" w:sz="0" w:space="0" w:color="auto"/>
      </w:divBdr>
    </w:div>
    <w:div w:id="1675575439">
      <w:bodyDiv w:val="1"/>
      <w:marLeft w:val="0"/>
      <w:marRight w:val="0"/>
      <w:marTop w:val="0"/>
      <w:marBottom w:val="0"/>
      <w:divBdr>
        <w:top w:val="none" w:sz="0" w:space="0" w:color="auto"/>
        <w:left w:val="none" w:sz="0" w:space="0" w:color="auto"/>
        <w:bottom w:val="none" w:sz="0" w:space="0" w:color="auto"/>
        <w:right w:val="none" w:sz="0" w:space="0" w:color="auto"/>
      </w:divBdr>
    </w:div>
    <w:div w:id="1987276681">
      <w:bodyDiv w:val="1"/>
      <w:marLeft w:val="0"/>
      <w:marRight w:val="0"/>
      <w:marTop w:val="0"/>
      <w:marBottom w:val="0"/>
      <w:divBdr>
        <w:top w:val="none" w:sz="0" w:space="0" w:color="auto"/>
        <w:left w:val="none" w:sz="0" w:space="0" w:color="auto"/>
        <w:bottom w:val="none" w:sz="0" w:space="0" w:color="auto"/>
        <w:right w:val="none" w:sz="0" w:space="0" w:color="auto"/>
      </w:divBdr>
    </w:div>
    <w:div w:id="210957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adni-list.si/glasilo-uradni-list-rs/vsebina/2022-01-308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E32413B0467F4782AAE82AE8CC2D63" ma:contentTypeVersion="14" ma:contentTypeDescription="Create a new document." ma:contentTypeScope="" ma:versionID="d651bc181443acb2c110032849e8f032">
  <xsd:schema xmlns:xsd="http://www.w3.org/2001/XMLSchema" xmlns:xs="http://www.w3.org/2001/XMLSchema" xmlns:p="http://schemas.microsoft.com/office/2006/metadata/properties" xmlns:ns2="2d84c46d-d80f-45f9-9667-6867016065f9" xmlns:ns3="93be59e3-129f-4f51-bcce-a0522aded1aa" targetNamespace="http://schemas.microsoft.com/office/2006/metadata/properties" ma:root="true" ma:fieldsID="3ecf8e42f840a993d679e31a1b4afbb7" ns2:_="" ns3:_="">
    <xsd:import namespace="2d84c46d-d80f-45f9-9667-6867016065f9"/>
    <xsd:import namespace="93be59e3-129f-4f51-bcce-a0522aded1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4c46d-d80f-45f9-9667-6867016065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e59e3-129f-4f51-bcce-a0522aded1a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07FD4-3F25-42EF-B00B-88E2E21DA4F2}">
  <ds:schemaRefs>
    <ds:schemaRef ds:uri="http://schemas.microsoft.com/sharepoint/v3/contenttype/forms"/>
  </ds:schemaRefs>
</ds:datastoreItem>
</file>

<file path=customXml/itemProps2.xml><?xml version="1.0" encoding="utf-8"?>
<ds:datastoreItem xmlns:ds="http://schemas.openxmlformats.org/officeDocument/2006/customXml" ds:itemID="{463A710C-0898-4F5E-968C-074A9C0C9B2C}">
  <ds:schemaRefs>
    <ds:schemaRef ds:uri="http://purl.org/dc/terms/"/>
    <ds:schemaRef ds:uri="http://schemas.microsoft.com/office/2006/metadata/properties"/>
    <ds:schemaRef ds:uri="http://purl.org/dc/dcmitype/"/>
    <ds:schemaRef ds:uri="2d84c46d-d80f-45f9-9667-6867016065f9"/>
    <ds:schemaRef ds:uri="http://purl.org/dc/elements/1.1/"/>
    <ds:schemaRef ds:uri="93be59e3-129f-4f51-bcce-a0522aded1a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D471645-59C5-4887-B6C7-BC5258347394}">
  <ds:schemaRefs>
    <ds:schemaRef ds:uri="http://schemas.openxmlformats.org/officeDocument/2006/bibliography"/>
  </ds:schemaRefs>
</ds:datastoreItem>
</file>

<file path=customXml/itemProps4.xml><?xml version="1.0" encoding="utf-8"?>
<ds:datastoreItem xmlns:ds="http://schemas.openxmlformats.org/officeDocument/2006/customXml" ds:itemID="{65E77978-956A-4A97-9BFB-D70FD82F0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4c46d-d80f-45f9-9667-6867016065f9"/>
    <ds:schemaRef ds:uri="93be59e3-129f-4f51-bcce-a0522ade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1146</Words>
  <Characters>6534</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Majda Petejan</dc:creator>
  <cp:keywords/>
  <dc:description/>
  <cp:lastModifiedBy>Miran Ljucovič</cp:lastModifiedBy>
  <cp:revision>23</cp:revision>
  <cp:lastPrinted>2023-02-22T07:22:00Z</cp:lastPrinted>
  <dcterms:created xsi:type="dcterms:W3CDTF">2024-10-03T14:35:00Z</dcterms:created>
  <dcterms:modified xsi:type="dcterms:W3CDTF">2024-10-10T14:52:00Z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0x01010007E32413B0467F4782AAE82AE8CC2D63</vt:lpwstr>
  </property>
</Properties>
</file>