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57B94" w14:textId="77777777" w:rsidR="00C2169F" w:rsidRDefault="00C2169F"/>
    <w:p w14:paraId="2DCAF930" w14:textId="77777777" w:rsidR="00251003" w:rsidRDefault="00251003" w:rsidP="00AC471E">
      <w:pPr>
        <w:ind w:right="4830"/>
      </w:pPr>
    </w:p>
    <w:p w14:paraId="1E9544CD" w14:textId="77777777" w:rsidR="00AC471E" w:rsidRPr="000E0C1D" w:rsidRDefault="00AC471E" w:rsidP="00AC471E">
      <w:pPr>
        <w:jc w:val="both"/>
        <w:rPr>
          <w:rFonts w:ascii="Arial" w:hAnsi="Arial" w:cs="Arial"/>
          <w:sz w:val="22"/>
          <w:szCs w:val="22"/>
        </w:rPr>
      </w:pPr>
      <w:bookmarkStart w:id="0" w:name="_Hlk42080224"/>
      <w:r w:rsidRPr="000E0C1D">
        <w:rPr>
          <w:rFonts w:ascii="Arial" w:hAnsi="Arial" w:cs="Arial"/>
          <w:sz w:val="22"/>
          <w:szCs w:val="22"/>
        </w:rPr>
        <w:t>Na podlagi četrtega odstavka 204. člena Zakona o urejanju prostora (Uradni list RS, št. 199/21 in 18/23 – ZDU-1O, 78/23 – ZUNPEOVE, 95/23 – ZIUOPZP in 23/24) in 28. člena Statuta Mestne občine Nova Gorica (Uradni list RS, št. 13/12, 18/17 in 18/19) Mestna občina Nova Gorica objavlja</w:t>
      </w:r>
    </w:p>
    <w:p w14:paraId="5F7D2E68" w14:textId="77777777" w:rsidR="00AC471E" w:rsidRPr="00AC471E" w:rsidRDefault="00AC471E" w:rsidP="00AC471E">
      <w:pPr>
        <w:jc w:val="center"/>
        <w:rPr>
          <w:rFonts w:ascii="Arial" w:hAnsi="Arial" w:cs="Arial"/>
          <w:sz w:val="16"/>
          <w:szCs w:val="16"/>
        </w:rPr>
      </w:pPr>
    </w:p>
    <w:p w14:paraId="606A45FD" w14:textId="77777777" w:rsidR="00AC471E" w:rsidRDefault="00AC471E" w:rsidP="00AC471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E0C1D">
        <w:rPr>
          <w:rFonts w:ascii="Arial" w:hAnsi="Arial" w:cs="Arial"/>
          <w:b/>
          <w:bCs/>
          <w:sz w:val="22"/>
          <w:szCs w:val="22"/>
        </w:rPr>
        <w:t>JAVNO NAZNANILO</w:t>
      </w:r>
    </w:p>
    <w:p w14:paraId="6D0B7E5D" w14:textId="77777777" w:rsidR="00ED33F4" w:rsidRPr="000E0C1D" w:rsidRDefault="00ED33F4" w:rsidP="00AC471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80BDE90" w14:textId="3FA370B2" w:rsidR="00AC471E" w:rsidRDefault="00AC471E" w:rsidP="00AC471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E0C1D">
        <w:rPr>
          <w:rFonts w:ascii="Arial" w:hAnsi="Arial" w:cs="Arial"/>
          <w:b/>
          <w:bCs/>
          <w:sz w:val="22"/>
          <w:szCs w:val="22"/>
        </w:rPr>
        <w:t xml:space="preserve">o javni razgrnitvi </w:t>
      </w:r>
      <w:r w:rsidR="00ED33F4" w:rsidRPr="00ED33F4">
        <w:rPr>
          <w:rFonts w:ascii="Arial" w:hAnsi="Arial" w:cs="Arial"/>
          <w:b/>
          <w:bCs/>
          <w:sz w:val="22"/>
          <w:szCs w:val="22"/>
        </w:rPr>
        <w:t>Sklepa o ugotovitvi, da je gradnja odvodnika v Sočo na nepremičninah parc. št. 435/1 in 425/5, obe k. o. 2304 – Nova Gorica, nujno potrebna in v javno korist</w:t>
      </w:r>
    </w:p>
    <w:p w14:paraId="23BF844C" w14:textId="77777777" w:rsidR="00ED33F4" w:rsidRDefault="00ED33F4" w:rsidP="00AC471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86B38A4" w14:textId="6073E081" w:rsidR="00ED33F4" w:rsidRPr="000E0C1D" w:rsidRDefault="00ED33F4" w:rsidP="00AC471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(čistopis)</w:t>
      </w:r>
    </w:p>
    <w:p w14:paraId="2A662A7B" w14:textId="77777777" w:rsidR="00AC471E" w:rsidRPr="000725A9" w:rsidRDefault="00AC471E" w:rsidP="00AC471E">
      <w:pPr>
        <w:jc w:val="both"/>
        <w:rPr>
          <w:rFonts w:ascii="Arial" w:hAnsi="Arial" w:cs="Arial"/>
          <w:sz w:val="22"/>
          <w:szCs w:val="22"/>
        </w:rPr>
      </w:pPr>
    </w:p>
    <w:p w14:paraId="2C78874D" w14:textId="5E54C80E" w:rsidR="00AC471E" w:rsidRPr="000E0C1D" w:rsidRDefault="00AC471E" w:rsidP="00AC471E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E0C1D">
        <w:rPr>
          <w:rFonts w:ascii="Arial" w:hAnsi="Arial" w:cs="Arial"/>
          <w:sz w:val="22"/>
          <w:szCs w:val="22"/>
        </w:rPr>
        <w:t xml:space="preserve">Javna razgrnitev </w:t>
      </w:r>
      <w:r w:rsidR="00ED33F4" w:rsidRPr="00ED33F4">
        <w:rPr>
          <w:rFonts w:ascii="Arial" w:hAnsi="Arial" w:cs="Arial"/>
          <w:sz w:val="22"/>
          <w:szCs w:val="22"/>
        </w:rPr>
        <w:t>Sklepa o ugotovitvi, da je gradnja odvodnika v Sočo na nepremičninah parc. št. 435/1 in 425/5, obe k. o. 2304 – Nova Gorica, nujno potrebna in v javno korist na podlagi projektne dokumentacije DGD – Projektna dokumentacija za pridobitev mnenj in gradbenega dovoljenja, št. projekta 014-36/22, ter njegovih prilog bo trajala od petka, 16. 8. 2024 do vključno ponedeljka, 2. 9. 2024.</w:t>
      </w:r>
    </w:p>
    <w:p w14:paraId="26EB6DEA" w14:textId="77777777" w:rsidR="00AC471E" w:rsidRPr="000725A9" w:rsidRDefault="00AC471E" w:rsidP="00AC471E">
      <w:pPr>
        <w:jc w:val="both"/>
        <w:rPr>
          <w:rFonts w:ascii="Arial" w:hAnsi="Arial" w:cs="Arial"/>
          <w:sz w:val="22"/>
          <w:szCs w:val="22"/>
        </w:rPr>
      </w:pPr>
    </w:p>
    <w:p w14:paraId="30E474CA" w14:textId="081C63C4" w:rsidR="00AC471E" w:rsidRPr="000E0C1D" w:rsidRDefault="00AC471E" w:rsidP="00AC471E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E0C1D">
        <w:rPr>
          <w:rFonts w:ascii="Arial" w:hAnsi="Arial" w:cs="Arial"/>
          <w:sz w:val="22"/>
          <w:szCs w:val="22"/>
        </w:rPr>
        <w:t xml:space="preserve">Gradivo </w:t>
      </w:r>
      <w:r>
        <w:rPr>
          <w:rFonts w:ascii="Arial" w:hAnsi="Arial" w:cs="Arial"/>
          <w:sz w:val="22"/>
          <w:szCs w:val="22"/>
        </w:rPr>
        <w:t xml:space="preserve">iz 1. točke tega javnega naznanila </w:t>
      </w:r>
      <w:r w:rsidRPr="000E0C1D">
        <w:rPr>
          <w:rFonts w:ascii="Arial" w:hAnsi="Arial" w:cs="Arial"/>
          <w:sz w:val="22"/>
          <w:szCs w:val="22"/>
        </w:rPr>
        <w:t>bo javno razgrnjeno v sprejemni pisarni v pritličju Mestne občine Nova Gorica, Trg Edvarda Kardelja 1, 5000 Nova Gorica (v poslovnem času: ob ponedeljkih, torkih in četrtkih od 8. do 12. ure ter od 13. do 1</w:t>
      </w:r>
      <w:r w:rsidR="00ED33F4">
        <w:rPr>
          <w:rFonts w:ascii="Arial" w:hAnsi="Arial" w:cs="Arial"/>
          <w:sz w:val="22"/>
          <w:szCs w:val="22"/>
        </w:rPr>
        <w:t>5</w:t>
      </w:r>
      <w:r w:rsidRPr="000E0C1D">
        <w:rPr>
          <w:rFonts w:ascii="Arial" w:hAnsi="Arial" w:cs="Arial"/>
          <w:sz w:val="22"/>
          <w:szCs w:val="22"/>
        </w:rPr>
        <w:t xml:space="preserve">. ure, ob sredah od 8. do 12. ure ter od 13. do 17. ure in ob petkih od 8. do 13.30 ure) in na spletnem naslovu </w:t>
      </w:r>
      <w:hyperlink r:id="rId7" w:history="1">
        <w:r>
          <w:rPr>
            <w:rStyle w:val="Hiperpovezava"/>
            <w:rFonts w:ascii="Arial" w:hAnsi="Arial" w:cs="Arial"/>
            <w:sz w:val="22"/>
            <w:szCs w:val="22"/>
          </w:rPr>
          <w:t>https://www.nova-gorica.si/za-obcane/prostorski-akti/prostorski-akti-v-pripravi/</w:t>
        </w:r>
      </w:hyperlink>
      <w:r w:rsidRPr="000E0C1D">
        <w:rPr>
          <w:rFonts w:ascii="Arial" w:hAnsi="Arial" w:cs="Arial"/>
          <w:sz w:val="22"/>
          <w:szCs w:val="22"/>
        </w:rPr>
        <w:t>.</w:t>
      </w:r>
    </w:p>
    <w:p w14:paraId="47612780" w14:textId="77777777" w:rsidR="00AC471E" w:rsidRPr="000725A9" w:rsidRDefault="00AC471E" w:rsidP="00AC471E">
      <w:pPr>
        <w:rPr>
          <w:rFonts w:ascii="Arial" w:hAnsi="Arial" w:cs="Arial"/>
          <w:sz w:val="22"/>
          <w:szCs w:val="22"/>
        </w:rPr>
      </w:pPr>
    </w:p>
    <w:p w14:paraId="7535233A" w14:textId="71EB71F9" w:rsidR="00AC471E" w:rsidRDefault="00AC471E" w:rsidP="00AC471E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Pr="000E0C1D">
        <w:rPr>
          <w:rFonts w:ascii="Arial" w:hAnsi="Arial" w:cs="Arial"/>
          <w:sz w:val="22"/>
          <w:szCs w:val="22"/>
        </w:rPr>
        <w:t xml:space="preserve">času trajanja javne razgrnitve ima javnost pravico dajati pripombe in predloge na razgrnjeno gradivo. Pripombe in predloge se do konca javne razgrnitve, tj. do </w:t>
      </w:r>
      <w:r>
        <w:rPr>
          <w:rFonts w:ascii="Arial" w:hAnsi="Arial" w:cs="Arial"/>
          <w:sz w:val="22"/>
          <w:szCs w:val="22"/>
        </w:rPr>
        <w:t xml:space="preserve">vključno </w:t>
      </w:r>
      <w:r w:rsidR="00CC0A1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 </w:t>
      </w:r>
      <w:r w:rsidR="00CC0A13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. 2024, pošiljajo na naslov Mestna občina Nova Gorica, Trg Edvarda Kardelja 1, 5000 Nova Gorica, z oznako »Pripomba na javno razgrnitev </w:t>
      </w:r>
      <w:r w:rsidR="00EA013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klepa</w:t>
      </w:r>
      <w:r w:rsidRPr="00A2032B">
        <w:t xml:space="preserve"> </w:t>
      </w:r>
      <w:r w:rsidRPr="00A2032B">
        <w:rPr>
          <w:rFonts w:ascii="Arial" w:hAnsi="Arial" w:cs="Arial"/>
          <w:sz w:val="22"/>
          <w:szCs w:val="22"/>
        </w:rPr>
        <w:t>o ugotovitvi javne koristi</w:t>
      </w:r>
      <w:r>
        <w:rPr>
          <w:rFonts w:ascii="Arial" w:hAnsi="Arial" w:cs="Arial"/>
          <w:sz w:val="22"/>
          <w:szCs w:val="22"/>
        </w:rPr>
        <w:t xml:space="preserve">, št. zadeve </w:t>
      </w:r>
      <w:r w:rsidRPr="000E0C1D">
        <w:rPr>
          <w:rFonts w:ascii="Arial" w:hAnsi="Arial" w:cs="Arial"/>
          <w:sz w:val="22"/>
          <w:szCs w:val="22"/>
        </w:rPr>
        <w:t>3503-0003/2024</w:t>
      </w:r>
      <w:r>
        <w:rPr>
          <w:rFonts w:ascii="Arial" w:hAnsi="Arial" w:cs="Arial"/>
          <w:sz w:val="22"/>
          <w:szCs w:val="22"/>
        </w:rPr>
        <w:t xml:space="preserve">«, ali na elektronski naslov </w:t>
      </w:r>
      <w:hyperlink r:id="rId8" w:history="1">
        <w:r w:rsidRPr="00090404">
          <w:rPr>
            <w:rStyle w:val="Hiperpovezava"/>
            <w:rFonts w:ascii="Arial" w:hAnsi="Arial" w:cs="Arial"/>
            <w:sz w:val="22"/>
            <w:szCs w:val="22"/>
          </w:rPr>
          <w:t>mestna.obcina@nova-gorica.si</w:t>
        </w:r>
      </w:hyperlink>
      <w:r>
        <w:rPr>
          <w:rFonts w:ascii="Arial" w:hAnsi="Arial" w:cs="Arial"/>
          <w:sz w:val="22"/>
          <w:szCs w:val="22"/>
        </w:rPr>
        <w:t xml:space="preserve">, pri čemer se pod »zadeva« navede »Pripomba na javno razgrnitev </w:t>
      </w:r>
      <w:r w:rsidR="00EA013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klepa </w:t>
      </w:r>
      <w:r w:rsidRPr="00A2032B">
        <w:rPr>
          <w:rFonts w:ascii="Arial" w:hAnsi="Arial" w:cs="Arial"/>
          <w:sz w:val="22"/>
          <w:szCs w:val="22"/>
        </w:rPr>
        <w:t>o ugotovitvi javne koristi</w:t>
      </w:r>
      <w:r>
        <w:rPr>
          <w:rFonts w:ascii="Arial" w:hAnsi="Arial" w:cs="Arial"/>
          <w:sz w:val="22"/>
          <w:szCs w:val="22"/>
        </w:rPr>
        <w:t xml:space="preserve">, št. zadeve </w:t>
      </w:r>
      <w:r w:rsidRPr="000E0C1D">
        <w:rPr>
          <w:rFonts w:ascii="Arial" w:hAnsi="Arial" w:cs="Arial"/>
          <w:sz w:val="22"/>
          <w:szCs w:val="22"/>
        </w:rPr>
        <w:t>3503-0003/2024</w:t>
      </w:r>
      <w:r>
        <w:rPr>
          <w:rFonts w:ascii="Arial" w:hAnsi="Arial" w:cs="Arial"/>
          <w:sz w:val="22"/>
          <w:szCs w:val="22"/>
        </w:rPr>
        <w:t>«.</w:t>
      </w:r>
    </w:p>
    <w:p w14:paraId="12955E16" w14:textId="77777777" w:rsidR="00AC471E" w:rsidRPr="000725A9" w:rsidRDefault="00AC471E" w:rsidP="00AC471E">
      <w:pPr>
        <w:rPr>
          <w:rFonts w:ascii="Arial" w:hAnsi="Arial" w:cs="Arial"/>
          <w:sz w:val="22"/>
          <w:szCs w:val="22"/>
        </w:rPr>
      </w:pPr>
    </w:p>
    <w:p w14:paraId="074728C5" w14:textId="77777777" w:rsidR="00AC471E" w:rsidRDefault="00AC471E" w:rsidP="00AC471E">
      <w:pPr>
        <w:pStyle w:val="Odstavekseznama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 oddaji pripomb in predlogov se bodo osebni podatki obdelovali le za namen in v okviru priprave sklepa ter ne bodo javno objavljeni. Osebni podatki bodo varovani v skladu s Splošno uredbo o varstvu podatkov (GDPR), veljavno zakonodajo o varstvu osebnih podatkov in internimi akti Mestne občine Nova Gorica.</w:t>
      </w:r>
    </w:p>
    <w:p w14:paraId="4FF3B893" w14:textId="77777777" w:rsidR="00AC471E" w:rsidRPr="000725A9" w:rsidRDefault="00AC471E" w:rsidP="000725A9">
      <w:pPr>
        <w:jc w:val="both"/>
        <w:rPr>
          <w:rFonts w:ascii="Arial" w:hAnsi="Arial" w:cs="Arial"/>
          <w:sz w:val="22"/>
          <w:szCs w:val="22"/>
        </w:rPr>
      </w:pPr>
    </w:p>
    <w:p w14:paraId="53FCC348" w14:textId="77777777" w:rsidR="00AC471E" w:rsidRDefault="00AC471E" w:rsidP="00AC471E">
      <w:pPr>
        <w:pStyle w:val="Odstavekseznama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Mestna občina Nova Gorica bo proučila pripombe in predloge javnosti in do njih zavzela stališče, ki ga bo objavila na spletni strani Mestne občine Nova Gorica </w:t>
      </w:r>
      <w:hyperlink r:id="rId9" w:history="1">
        <w:r>
          <w:rPr>
            <w:rStyle w:val="Hiperpovezava"/>
            <w:rFonts w:ascii="Arial" w:hAnsi="Arial" w:cs="Arial"/>
            <w:sz w:val="22"/>
            <w:szCs w:val="22"/>
          </w:rPr>
          <w:t>https://www.nova-gorica.si/za-obcane/prostorski-akti/prostorski-akti-v-pripravi/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22DC7FDE" w14:textId="77777777" w:rsidR="00AC471E" w:rsidRPr="000725A9" w:rsidRDefault="00AC471E" w:rsidP="000725A9">
      <w:pPr>
        <w:rPr>
          <w:rFonts w:ascii="Arial" w:hAnsi="Arial" w:cs="Arial"/>
          <w:sz w:val="22"/>
          <w:szCs w:val="22"/>
        </w:rPr>
      </w:pPr>
    </w:p>
    <w:p w14:paraId="002231E8" w14:textId="77777777" w:rsidR="00AC471E" w:rsidRDefault="00AC471E" w:rsidP="00AC471E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Naznanilo se objavi na spletni strani Mestne občine Nova Gorica </w:t>
      </w:r>
      <w:hyperlink r:id="rId10" w:history="1">
        <w:r>
          <w:rPr>
            <w:rStyle w:val="Hiperpovezava"/>
            <w:rFonts w:ascii="Arial" w:hAnsi="Arial" w:cs="Arial"/>
            <w:sz w:val="22"/>
            <w:szCs w:val="22"/>
          </w:rPr>
          <w:t>https://www.nova-gorica.si/sporocila-za-javnost/</w:t>
        </w:r>
      </w:hyperlink>
      <w:r>
        <w:rPr>
          <w:rFonts w:ascii="Arial" w:hAnsi="Arial" w:cs="Arial"/>
          <w:sz w:val="22"/>
          <w:szCs w:val="22"/>
        </w:rPr>
        <w:t xml:space="preserve"> in na oglasni deski Krajevne skupnosti Nova Gorica.</w:t>
      </w:r>
    </w:p>
    <w:p w14:paraId="23639767" w14:textId="77777777" w:rsidR="000725A9" w:rsidRPr="000725A9" w:rsidRDefault="000725A9" w:rsidP="000725A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3" w:type="pct"/>
        <w:tblInd w:w="-5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4421"/>
        <w:gridCol w:w="664"/>
        <w:gridCol w:w="3707"/>
      </w:tblGrid>
      <w:tr w:rsidR="00531C33" w14:paraId="59565FD5" w14:textId="77777777" w:rsidTr="00AC471E">
        <w:trPr>
          <w:trHeight w:val="277"/>
        </w:trPr>
        <w:tc>
          <w:tcPr>
            <w:tcW w:w="4421" w:type="dxa"/>
            <w:shd w:val="clear" w:color="auto" w:fill="auto"/>
          </w:tcPr>
          <w:p w14:paraId="56416B21" w14:textId="3BFD978E" w:rsidR="00251003" w:rsidRPr="005D0748" w:rsidRDefault="00251003" w:rsidP="001271D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14:paraId="26B7B6D1" w14:textId="77777777" w:rsidR="00251003" w:rsidRPr="005D0748" w:rsidRDefault="00251003" w:rsidP="001271D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707" w:type="dxa"/>
            <w:shd w:val="clear" w:color="auto" w:fill="auto"/>
          </w:tcPr>
          <w:p w14:paraId="70ED43FE" w14:textId="77777777" w:rsidR="00251003" w:rsidRPr="005D0748" w:rsidRDefault="00251003" w:rsidP="001271D5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531C33" w14:paraId="4EF75FF0" w14:textId="77777777" w:rsidTr="00AC471E">
        <w:tc>
          <w:tcPr>
            <w:tcW w:w="4421" w:type="dxa"/>
            <w:shd w:val="clear" w:color="auto" w:fill="auto"/>
          </w:tcPr>
          <w:p w14:paraId="19A0BE9F" w14:textId="4604E111" w:rsidR="00251003" w:rsidRDefault="00AC471E" w:rsidP="00AC471E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_Hlk42080248"/>
            <w:r>
              <w:rPr>
                <w:rFonts w:ascii="Arial" w:eastAsia="Calibri" w:hAnsi="Arial" w:cs="Arial"/>
                <w:sz w:val="22"/>
                <w:szCs w:val="22"/>
              </w:rPr>
              <w:t xml:space="preserve">Številka: </w:t>
            </w:r>
            <w:r w:rsidRPr="000E0C1D">
              <w:rPr>
                <w:rFonts w:ascii="Arial" w:hAnsi="Arial" w:cs="Arial"/>
                <w:sz w:val="22"/>
                <w:szCs w:val="22"/>
              </w:rPr>
              <w:t>3503-0003/2024-</w:t>
            </w:r>
            <w:r w:rsidR="003879D1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61A75242" w14:textId="2F989B42" w:rsidR="00AC471E" w:rsidRPr="005D0748" w:rsidRDefault="00AC471E" w:rsidP="00AC471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E0C1D">
              <w:rPr>
                <w:rFonts w:ascii="Arial" w:hAnsi="Arial" w:cs="Arial"/>
                <w:sz w:val="22"/>
                <w:szCs w:val="22"/>
              </w:rPr>
              <w:t xml:space="preserve">Nova Gorica, dne </w:t>
            </w:r>
            <w:r w:rsidR="000725A9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. avgusta 2024</w:t>
            </w:r>
          </w:p>
        </w:tc>
        <w:tc>
          <w:tcPr>
            <w:tcW w:w="664" w:type="dxa"/>
            <w:shd w:val="clear" w:color="auto" w:fill="auto"/>
          </w:tcPr>
          <w:p w14:paraId="6B0B8CAF" w14:textId="77777777" w:rsidR="00251003" w:rsidRPr="005D0748" w:rsidRDefault="00251003" w:rsidP="001271D5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707" w:type="dxa"/>
            <w:shd w:val="clear" w:color="auto" w:fill="auto"/>
          </w:tcPr>
          <w:p w14:paraId="35210631" w14:textId="78FDB8BB" w:rsidR="00251003" w:rsidRPr="005D0748" w:rsidRDefault="00000000" w:rsidP="001271D5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bookmarkStart w:id="2" w:name="odos_ip_desniPodpisnikiIzOsnutkaQR"/>
            <w:r w:rsidRPr="005D0748">
              <w:rPr>
                <w:rFonts w:ascii="Arial" w:eastAsia="Arial" w:hAnsi="Arial" w:cs="Arial"/>
                <w:sz w:val="23"/>
                <w:szCs w:val="23"/>
              </w:rPr>
              <w:t>Samo Turel</w:t>
            </w:r>
            <w:r w:rsidRPr="005D0748">
              <w:rPr>
                <w:rFonts w:ascii="Arial" w:eastAsia="Arial" w:hAnsi="Arial" w:cs="Arial"/>
                <w:sz w:val="23"/>
                <w:szCs w:val="23"/>
              </w:rPr>
              <w:br/>
            </w:r>
            <w:r w:rsidR="006E3318">
              <w:rPr>
                <w:rFonts w:ascii="Arial" w:eastAsia="Arial" w:hAnsi="Arial" w:cs="Arial"/>
                <w:sz w:val="23"/>
                <w:szCs w:val="23"/>
              </w:rPr>
              <w:t>ŽUPAN</w:t>
            </w:r>
            <w:bookmarkEnd w:id="2"/>
          </w:p>
        </w:tc>
      </w:tr>
      <w:bookmarkEnd w:id="0"/>
      <w:bookmarkEnd w:id="1"/>
    </w:tbl>
    <w:p w14:paraId="2ADE69FB" w14:textId="2998E398" w:rsidR="00674E3D" w:rsidRPr="00AC471E" w:rsidRDefault="00674E3D" w:rsidP="00AC471E">
      <w:pPr>
        <w:jc w:val="both"/>
        <w:rPr>
          <w:rFonts w:ascii="Arial" w:hAnsi="Arial" w:cs="Arial"/>
          <w:sz w:val="22"/>
          <w:szCs w:val="22"/>
        </w:rPr>
      </w:pPr>
    </w:p>
    <w:sectPr w:rsidR="00674E3D" w:rsidRPr="00AC471E" w:rsidSect="00A41617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C235C" w14:textId="77777777" w:rsidR="000856B1" w:rsidRDefault="000856B1">
      <w:r>
        <w:separator/>
      </w:r>
    </w:p>
  </w:endnote>
  <w:endnote w:type="continuationSeparator" w:id="0">
    <w:p w14:paraId="5A1E87CE" w14:textId="77777777" w:rsidR="000856B1" w:rsidRDefault="0008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charset w:val="00"/>
    <w:family w:val="decorative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77998" w14:textId="77777777" w:rsidR="00707CDF" w:rsidRDefault="00000000">
    <w:pPr>
      <w:pStyle w:val="Nog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02C5FC" wp14:editId="5C722DDC">
          <wp:simplePos x="0" y="0"/>
          <wp:positionH relativeFrom="page">
            <wp:posOffset>440690</wp:posOffset>
          </wp:positionH>
          <wp:positionV relativeFrom="page">
            <wp:posOffset>9621520</wp:posOffset>
          </wp:positionV>
          <wp:extent cx="5581650" cy="685800"/>
          <wp:effectExtent l="0" t="0" r="0" b="0"/>
          <wp:wrapTopAndBottom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A15E8" w14:textId="77777777" w:rsidR="00707CDF" w:rsidRDefault="00000000">
    <w:pPr>
      <w:pStyle w:val="Noga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3563E8B" wp14:editId="3EAA2A5F">
          <wp:simplePos x="0" y="0"/>
          <wp:positionH relativeFrom="page">
            <wp:posOffset>288290</wp:posOffset>
          </wp:positionH>
          <wp:positionV relativeFrom="page">
            <wp:posOffset>9469120</wp:posOffset>
          </wp:positionV>
          <wp:extent cx="5581650" cy="685800"/>
          <wp:effectExtent l="0" t="0" r="0" b="0"/>
          <wp:wrapTopAndBottom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2188D" w14:textId="77777777" w:rsidR="00674E3D" w:rsidRDefault="00000000">
    <w:pPr>
      <w:pStyle w:val="Nog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9FC64F" wp14:editId="1887BED6">
          <wp:simplePos x="0" y="0"/>
          <wp:positionH relativeFrom="page">
            <wp:posOffset>280035</wp:posOffset>
          </wp:positionH>
          <wp:positionV relativeFrom="page">
            <wp:posOffset>9472930</wp:posOffset>
          </wp:positionV>
          <wp:extent cx="5581650" cy="685800"/>
          <wp:effectExtent l="0" t="0" r="0" b="0"/>
          <wp:wrapTopAndBottom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9AE24" w14:textId="77777777" w:rsidR="000856B1" w:rsidRDefault="000856B1">
      <w:r>
        <w:separator/>
      </w:r>
    </w:p>
  </w:footnote>
  <w:footnote w:type="continuationSeparator" w:id="0">
    <w:p w14:paraId="2F660FE8" w14:textId="77777777" w:rsidR="000856B1" w:rsidRDefault="00085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CD94D" w14:textId="77777777" w:rsidR="00C2169F" w:rsidRDefault="00000000">
    <w:pPr>
      <w:pStyle w:val="Glav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1284A1E" wp14:editId="21B01EF1">
          <wp:simplePos x="0" y="0"/>
          <wp:positionH relativeFrom="column">
            <wp:posOffset>-847725</wp:posOffset>
          </wp:positionH>
          <wp:positionV relativeFrom="paragraph">
            <wp:posOffset>-226060</wp:posOffset>
          </wp:positionV>
          <wp:extent cx="2463165" cy="1050925"/>
          <wp:effectExtent l="0" t="0" r="0" b="0"/>
          <wp:wrapSquare wrapText="bothSides"/>
          <wp:docPr id="19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950CB" w14:textId="77777777" w:rsidR="00C2169F" w:rsidRDefault="00C2169F">
    <w:pPr>
      <w:pStyle w:val="Glava"/>
    </w:pPr>
  </w:p>
  <w:p w14:paraId="3F0D2BDA" w14:textId="77777777" w:rsidR="00A41617" w:rsidRDefault="00A4161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93EFF"/>
    <w:multiLevelType w:val="hybridMultilevel"/>
    <w:tmpl w:val="EFF636C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A30ED3"/>
    <w:multiLevelType w:val="singleLevel"/>
    <w:tmpl w:val="CCE626C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F5D2036"/>
    <w:multiLevelType w:val="hybridMultilevel"/>
    <w:tmpl w:val="F1260832"/>
    <w:lvl w:ilvl="0" w:tplc="C3868D3C">
      <w:start w:val="1"/>
      <w:numFmt w:val="decimal"/>
      <w:lvlText w:val="%1."/>
      <w:lvlJc w:val="left"/>
      <w:pPr>
        <w:ind w:left="720" w:hanging="360"/>
      </w:pPr>
    </w:lvl>
    <w:lvl w:ilvl="1" w:tplc="D4067302">
      <w:start w:val="1"/>
      <w:numFmt w:val="lowerLetter"/>
      <w:lvlText w:val="%2."/>
      <w:lvlJc w:val="left"/>
      <w:pPr>
        <w:ind w:left="1440" w:hanging="360"/>
      </w:pPr>
    </w:lvl>
    <w:lvl w:ilvl="2" w:tplc="8C147F4E">
      <w:start w:val="1"/>
      <w:numFmt w:val="lowerRoman"/>
      <w:lvlText w:val="%3."/>
      <w:lvlJc w:val="right"/>
      <w:pPr>
        <w:ind w:left="2160" w:hanging="180"/>
      </w:pPr>
    </w:lvl>
    <w:lvl w:ilvl="3" w:tplc="3F18F114">
      <w:start w:val="1"/>
      <w:numFmt w:val="decimal"/>
      <w:lvlText w:val="%4."/>
      <w:lvlJc w:val="left"/>
      <w:pPr>
        <w:ind w:left="2880" w:hanging="360"/>
      </w:pPr>
    </w:lvl>
    <w:lvl w:ilvl="4" w:tplc="4CC20A36">
      <w:start w:val="1"/>
      <w:numFmt w:val="lowerLetter"/>
      <w:lvlText w:val="%5."/>
      <w:lvlJc w:val="left"/>
      <w:pPr>
        <w:ind w:left="3600" w:hanging="360"/>
      </w:pPr>
    </w:lvl>
    <w:lvl w:ilvl="5" w:tplc="3B522BB4">
      <w:start w:val="1"/>
      <w:numFmt w:val="lowerRoman"/>
      <w:lvlText w:val="%6."/>
      <w:lvlJc w:val="right"/>
      <w:pPr>
        <w:ind w:left="4320" w:hanging="180"/>
      </w:pPr>
    </w:lvl>
    <w:lvl w:ilvl="6" w:tplc="EE2E0412">
      <w:start w:val="1"/>
      <w:numFmt w:val="decimal"/>
      <w:lvlText w:val="%7."/>
      <w:lvlJc w:val="left"/>
      <w:pPr>
        <w:ind w:left="5040" w:hanging="360"/>
      </w:pPr>
    </w:lvl>
    <w:lvl w:ilvl="7" w:tplc="96CA553E">
      <w:start w:val="1"/>
      <w:numFmt w:val="lowerLetter"/>
      <w:lvlText w:val="%8."/>
      <w:lvlJc w:val="left"/>
      <w:pPr>
        <w:ind w:left="5760" w:hanging="360"/>
      </w:pPr>
    </w:lvl>
    <w:lvl w:ilvl="8" w:tplc="ABB242B4">
      <w:start w:val="1"/>
      <w:numFmt w:val="lowerRoman"/>
      <w:lvlText w:val="%9."/>
      <w:lvlJc w:val="right"/>
      <w:pPr>
        <w:ind w:left="6480" w:hanging="180"/>
      </w:pPr>
    </w:lvl>
  </w:abstractNum>
  <w:num w:numId="1" w16cid:durableId="935985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6145364">
    <w:abstractNumId w:val="1"/>
  </w:num>
  <w:num w:numId="3" w16cid:durableId="1265843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003"/>
    <w:rsid w:val="000413BA"/>
    <w:rsid w:val="00043BF1"/>
    <w:rsid w:val="000619B7"/>
    <w:rsid w:val="000721C9"/>
    <w:rsid w:val="000725A9"/>
    <w:rsid w:val="0007782C"/>
    <w:rsid w:val="000856B1"/>
    <w:rsid w:val="000A645B"/>
    <w:rsid w:val="000B24B9"/>
    <w:rsid w:val="000B54F9"/>
    <w:rsid w:val="000F416A"/>
    <w:rsid w:val="001271D5"/>
    <w:rsid w:val="0013683E"/>
    <w:rsid w:val="00142024"/>
    <w:rsid w:val="00144D3D"/>
    <w:rsid w:val="00151869"/>
    <w:rsid w:val="001873CA"/>
    <w:rsid w:val="001C300F"/>
    <w:rsid w:val="0024522F"/>
    <w:rsid w:val="00251003"/>
    <w:rsid w:val="00254973"/>
    <w:rsid w:val="002722F0"/>
    <w:rsid w:val="002A6990"/>
    <w:rsid w:val="002B1DB2"/>
    <w:rsid w:val="002D2AF2"/>
    <w:rsid w:val="002E200B"/>
    <w:rsid w:val="00337383"/>
    <w:rsid w:val="00351049"/>
    <w:rsid w:val="00351424"/>
    <w:rsid w:val="0037271A"/>
    <w:rsid w:val="00381C8F"/>
    <w:rsid w:val="003879D1"/>
    <w:rsid w:val="00391924"/>
    <w:rsid w:val="003A7C6C"/>
    <w:rsid w:val="003B1360"/>
    <w:rsid w:val="003D3A05"/>
    <w:rsid w:val="003D784C"/>
    <w:rsid w:val="00407700"/>
    <w:rsid w:val="004122DF"/>
    <w:rsid w:val="00417CD8"/>
    <w:rsid w:val="004432FC"/>
    <w:rsid w:val="00475600"/>
    <w:rsid w:val="004960C1"/>
    <w:rsid w:val="004C131E"/>
    <w:rsid w:val="004C313B"/>
    <w:rsid w:val="004C7C60"/>
    <w:rsid w:val="0052728B"/>
    <w:rsid w:val="005273EA"/>
    <w:rsid w:val="00531C33"/>
    <w:rsid w:val="005A5E1F"/>
    <w:rsid w:val="005A6A60"/>
    <w:rsid w:val="005C3F60"/>
    <w:rsid w:val="005D0748"/>
    <w:rsid w:val="005D703C"/>
    <w:rsid w:val="00630157"/>
    <w:rsid w:val="00640175"/>
    <w:rsid w:val="00655E37"/>
    <w:rsid w:val="00674E3D"/>
    <w:rsid w:val="006D729D"/>
    <w:rsid w:val="006E3318"/>
    <w:rsid w:val="006F04CF"/>
    <w:rsid w:val="00707CDF"/>
    <w:rsid w:val="00711692"/>
    <w:rsid w:val="00727285"/>
    <w:rsid w:val="00765FDB"/>
    <w:rsid w:val="007A23C6"/>
    <w:rsid w:val="007F36BC"/>
    <w:rsid w:val="00804C4B"/>
    <w:rsid w:val="0080645F"/>
    <w:rsid w:val="00835816"/>
    <w:rsid w:val="00840447"/>
    <w:rsid w:val="00860ED5"/>
    <w:rsid w:val="00880B30"/>
    <w:rsid w:val="00881F08"/>
    <w:rsid w:val="00896BEC"/>
    <w:rsid w:val="008A379E"/>
    <w:rsid w:val="008A6D1C"/>
    <w:rsid w:val="008D5504"/>
    <w:rsid w:val="008E6E3F"/>
    <w:rsid w:val="008F28FF"/>
    <w:rsid w:val="00903C57"/>
    <w:rsid w:val="00916CFD"/>
    <w:rsid w:val="009239C3"/>
    <w:rsid w:val="009C4006"/>
    <w:rsid w:val="009F7123"/>
    <w:rsid w:val="00A1752B"/>
    <w:rsid w:val="00A27E55"/>
    <w:rsid w:val="00A34DAC"/>
    <w:rsid w:val="00A404E2"/>
    <w:rsid w:val="00A41617"/>
    <w:rsid w:val="00A45DD3"/>
    <w:rsid w:val="00A60A34"/>
    <w:rsid w:val="00AA08DC"/>
    <w:rsid w:val="00AB1A6A"/>
    <w:rsid w:val="00AC471E"/>
    <w:rsid w:val="00AE7270"/>
    <w:rsid w:val="00AF4261"/>
    <w:rsid w:val="00B72FB2"/>
    <w:rsid w:val="00B744C7"/>
    <w:rsid w:val="00BB3B90"/>
    <w:rsid w:val="00BC3360"/>
    <w:rsid w:val="00BF4394"/>
    <w:rsid w:val="00C2169F"/>
    <w:rsid w:val="00C35CB3"/>
    <w:rsid w:val="00C95E96"/>
    <w:rsid w:val="00C975CC"/>
    <w:rsid w:val="00CC0A13"/>
    <w:rsid w:val="00CF3CCC"/>
    <w:rsid w:val="00D113E8"/>
    <w:rsid w:val="00D30F20"/>
    <w:rsid w:val="00D43047"/>
    <w:rsid w:val="00D52F02"/>
    <w:rsid w:val="00D56C52"/>
    <w:rsid w:val="00D67508"/>
    <w:rsid w:val="00DA2879"/>
    <w:rsid w:val="00DF036B"/>
    <w:rsid w:val="00DF4C86"/>
    <w:rsid w:val="00E03B53"/>
    <w:rsid w:val="00E10E00"/>
    <w:rsid w:val="00EA013E"/>
    <w:rsid w:val="00EA303B"/>
    <w:rsid w:val="00EB01F4"/>
    <w:rsid w:val="00EC0FFA"/>
    <w:rsid w:val="00ED33F4"/>
    <w:rsid w:val="00F04DE4"/>
    <w:rsid w:val="00F16E1A"/>
    <w:rsid w:val="00F50824"/>
    <w:rsid w:val="00F52959"/>
    <w:rsid w:val="00F53083"/>
    <w:rsid w:val="00FB032E"/>
    <w:rsid w:val="00FC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3EFD7"/>
  <w15:chartTrackingRefBased/>
  <w15:docId w15:val="{3B898080-9229-40A9-BD3C-41E71B01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51003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D113E8"/>
    <w:rPr>
      <w:rFonts w:ascii="Tahoma" w:hAnsi="Tahoma" w:cs="Tahoma"/>
      <w:sz w:val="16"/>
      <w:szCs w:val="16"/>
    </w:rPr>
  </w:style>
  <w:style w:type="paragraph" w:customStyle="1" w:styleId="podpisi">
    <w:name w:val="podpisi"/>
    <w:basedOn w:val="Navaden"/>
    <w:qFormat/>
    <w:rsid w:val="000B24B9"/>
    <w:pPr>
      <w:tabs>
        <w:tab w:val="left" w:pos="3402"/>
      </w:tabs>
      <w:spacing w:line="260" w:lineRule="atLeast"/>
    </w:pPr>
    <w:rPr>
      <w:rFonts w:ascii="Arial" w:hAnsi="Arial"/>
      <w:sz w:val="20"/>
      <w:lang w:val="it-IT" w:eastAsia="en-US"/>
    </w:rPr>
  </w:style>
  <w:style w:type="character" w:styleId="Pripombasklic">
    <w:name w:val="annotation reference"/>
    <w:uiPriority w:val="99"/>
    <w:semiHidden/>
    <w:unhideWhenUsed/>
    <w:rsid w:val="008A6D1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A6D1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A6D1C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A6D1C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8A6D1C"/>
    <w:rPr>
      <w:b/>
      <w:bCs/>
    </w:rPr>
  </w:style>
  <w:style w:type="paragraph" w:customStyle="1" w:styleId="BasicParagraph">
    <w:name w:val="[Basic Paragraph]"/>
    <w:basedOn w:val="Navaden"/>
    <w:qFormat/>
    <w:rsid w:val="00251003"/>
    <w:pPr>
      <w:spacing w:line="288" w:lineRule="auto"/>
    </w:pPr>
    <w:rPr>
      <w:rFonts w:ascii="MinionPro-Regular" w:eastAsia="Arial Unicode MS" w:hAnsi="MinionPro-Regular" w:cs="Arial Unicode MS"/>
      <w:color w:val="000000"/>
      <w:lang w:val="en-US"/>
    </w:rPr>
  </w:style>
  <w:style w:type="paragraph" w:styleId="Odstavekseznama">
    <w:name w:val="List Paragraph"/>
    <w:basedOn w:val="Navaden"/>
    <w:uiPriority w:val="99"/>
    <w:qFormat/>
    <w:rsid w:val="00AC471E"/>
    <w:pPr>
      <w:ind w:left="720"/>
      <w:contextualSpacing/>
    </w:pPr>
    <w:rPr>
      <w:sz w:val="20"/>
      <w:szCs w:val="20"/>
      <w:lang w:eastAsia="en-US"/>
    </w:rPr>
  </w:style>
  <w:style w:type="character" w:styleId="Hiperpovezava">
    <w:name w:val="Hyperlink"/>
    <w:basedOn w:val="Privzetapisavaodstavka"/>
    <w:uiPriority w:val="99"/>
    <w:unhideWhenUsed/>
    <w:rsid w:val="00AC47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tna.obcina@nova-gorica.s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ova-gorica.si/za-obcane/prostorski-akti/prostorski-akti-v-pripravi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nova-gorica.si/sporocila-za-javno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ova-gorica.si/za-obcane/prostorski-akti/prostorski-akti-v-pripravi/" TargetMode="Externa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\AppData\Local\Microsoft\Windows\INetCache\Content.Outlook\2Q9X4ZE5\predloga_&#382;upan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predloga_župan</Template>
  <TotalTime>14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MITFORMA d.o.o.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 Habermut</dc:creator>
  <cp:lastModifiedBy>Tadej Hrovat</cp:lastModifiedBy>
  <cp:revision>14</cp:revision>
  <cp:lastPrinted>2020-11-11T09:39:00Z</cp:lastPrinted>
  <dcterms:created xsi:type="dcterms:W3CDTF">2022-04-08T09:15:00Z</dcterms:created>
  <dcterms:modified xsi:type="dcterms:W3CDTF">2024-08-20T05:49:00Z</dcterms:modified>
</cp:coreProperties>
</file>