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F63C" w14:textId="4D82EC66" w:rsidR="00AE76A7" w:rsidRDefault="00E42146" w:rsidP="00E42146">
      <w:pPr>
        <w:pStyle w:val="Naslov1"/>
      </w:pPr>
      <w:r>
        <w:t>Zmanjševanje količin živilskih odpadkov</w:t>
      </w:r>
    </w:p>
    <w:p w14:paraId="3AC27A1F" w14:textId="349F661E" w:rsidR="00E42146" w:rsidRDefault="00E42146" w:rsidP="00E42146">
      <w:r>
        <w:t xml:space="preserve">Komunala Nova Gorica </w:t>
      </w:r>
      <w:proofErr w:type="spellStart"/>
      <w:r>
        <w:t>d.d</w:t>
      </w:r>
      <w:proofErr w:type="spellEnd"/>
      <w:r>
        <w:t>. v okviru Evropskega tedna zmanjševanja odpadkov spodbuja k zmanjševanju količin živilskih odpadkov (stop nepotrebnim odpadkom).</w:t>
      </w:r>
    </w:p>
    <w:p w14:paraId="4D31B2E7" w14:textId="252D5E99" w:rsidR="00E42146" w:rsidRDefault="00E42146" w:rsidP="00E42146">
      <w:r>
        <w:t>V Evropski uniji (EU) se tako vsako leto zavrže skoraj 59 milijonov ton hrane, kar znaša 131 kg na osebo!</w:t>
      </w:r>
    </w:p>
    <w:p w14:paraId="1BD5FF87" w14:textId="13E4B190" w:rsidR="00E42146" w:rsidRDefault="00E42146" w:rsidP="00E42146">
      <w:pPr>
        <w:pStyle w:val="Naslov2"/>
      </w:pPr>
      <w:r>
        <w:t>Vpliv odpadkov na okolje, gospodarstvo in družbo</w:t>
      </w:r>
    </w:p>
    <w:p w14:paraId="7C958052" w14:textId="03BD7FF3" w:rsidR="00E42146" w:rsidRDefault="00E42146" w:rsidP="00E42146">
      <w:r>
        <w:t>Zaradi živilskih odpadkov nastane 16% vseh emisij toplogrednih plinov iz prehranskega sistema EU.</w:t>
      </w:r>
    </w:p>
    <w:p w14:paraId="679B44C3" w14:textId="17E251C4" w:rsidR="00E42146" w:rsidRDefault="00E42146" w:rsidP="00E42146">
      <w:r>
        <w:t>Zaradi živilskih odpadkov se vsako leto izgubi do 132 milijard EUR.</w:t>
      </w:r>
    </w:p>
    <w:p w14:paraId="7DB6C696" w14:textId="533E1266" w:rsidR="00E42146" w:rsidRDefault="00E42146" w:rsidP="00E42146">
      <w:r>
        <w:t>Skoraj 33 milijonov ljudi v EU si vsak drugi dan ne more privoščiti polnega obroka, medtem ko se zavrže več ton hrane.</w:t>
      </w:r>
    </w:p>
    <w:p w14:paraId="367D9F94" w14:textId="5658BCD5" w:rsidR="00E42146" w:rsidRPr="00E42146" w:rsidRDefault="00E42146" w:rsidP="00E42146">
      <w:pPr>
        <w:pStyle w:val="Napis"/>
        <w:keepNext/>
        <w:rPr>
          <w:b/>
          <w:bCs/>
          <w:i w:val="0"/>
          <w:iCs w:val="0"/>
          <w:color w:val="auto"/>
          <w:sz w:val="22"/>
          <w:szCs w:val="22"/>
        </w:rPr>
      </w:pPr>
      <w:r w:rsidRPr="00E42146">
        <w:rPr>
          <w:b/>
          <w:bCs/>
          <w:i w:val="0"/>
          <w:iCs w:val="0"/>
          <w:color w:val="auto"/>
          <w:sz w:val="22"/>
          <w:szCs w:val="22"/>
        </w:rPr>
        <w:t xml:space="preserve">Tabela </w:t>
      </w:r>
      <w:r w:rsidRPr="00E42146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42146">
        <w:rPr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E42146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E42146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E42146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42146">
        <w:rPr>
          <w:b/>
          <w:bCs/>
          <w:i w:val="0"/>
          <w:iCs w:val="0"/>
          <w:color w:val="auto"/>
          <w:sz w:val="22"/>
          <w:szCs w:val="22"/>
        </w:rPr>
        <w:t xml:space="preserve">: </w:t>
      </w:r>
      <w:r w:rsidR="0059545E">
        <w:rPr>
          <w:b/>
          <w:bCs/>
          <w:i w:val="0"/>
          <w:iCs w:val="0"/>
          <w:color w:val="auto"/>
          <w:sz w:val="22"/>
          <w:szCs w:val="22"/>
        </w:rPr>
        <w:t>P</w:t>
      </w:r>
      <w:r w:rsidRPr="00E42146">
        <w:rPr>
          <w:b/>
          <w:bCs/>
          <w:i w:val="0"/>
          <w:iCs w:val="0"/>
          <w:color w:val="auto"/>
          <w:sz w:val="22"/>
          <w:szCs w:val="22"/>
        </w:rPr>
        <w:t>roizvedeni odpadki glede na proizvajalca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2146" w14:paraId="1E636AD2" w14:textId="77777777" w:rsidTr="00E42146">
        <w:tc>
          <w:tcPr>
            <w:tcW w:w="4531" w:type="dxa"/>
          </w:tcPr>
          <w:p w14:paraId="796F9510" w14:textId="08B84F29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Proizvajalec odpadkov</w:t>
            </w:r>
          </w:p>
        </w:tc>
        <w:tc>
          <w:tcPr>
            <w:tcW w:w="4531" w:type="dxa"/>
          </w:tcPr>
          <w:p w14:paraId="48B68D9C" w14:textId="60868E6D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Proizvedeni odpadki (kg)</w:t>
            </w:r>
          </w:p>
        </w:tc>
      </w:tr>
      <w:tr w:rsidR="00E42146" w14:paraId="7AC17DA2" w14:textId="77777777" w:rsidTr="00E42146">
        <w:tc>
          <w:tcPr>
            <w:tcW w:w="4531" w:type="dxa"/>
          </w:tcPr>
          <w:p w14:paraId="6705C943" w14:textId="29AAA05D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Gospodinjstva</w:t>
            </w:r>
          </w:p>
        </w:tc>
        <w:tc>
          <w:tcPr>
            <w:tcW w:w="4531" w:type="dxa"/>
          </w:tcPr>
          <w:p w14:paraId="6406FA69" w14:textId="7B4F21FE" w:rsidR="00E42146" w:rsidRDefault="00E42146" w:rsidP="00E42146">
            <w:r>
              <w:t>70</w:t>
            </w:r>
          </w:p>
        </w:tc>
      </w:tr>
      <w:tr w:rsidR="00E42146" w14:paraId="130E8E12" w14:textId="77777777" w:rsidTr="00E42146">
        <w:tc>
          <w:tcPr>
            <w:tcW w:w="4531" w:type="dxa"/>
          </w:tcPr>
          <w:p w14:paraId="6BFDBAD7" w14:textId="4EA2048D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Predelava</w:t>
            </w:r>
          </w:p>
        </w:tc>
        <w:tc>
          <w:tcPr>
            <w:tcW w:w="4531" w:type="dxa"/>
          </w:tcPr>
          <w:p w14:paraId="7FF5C835" w14:textId="57FAC8AC" w:rsidR="00E42146" w:rsidRDefault="00E42146" w:rsidP="00E42146">
            <w:r>
              <w:t>28</w:t>
            </w:r>
          </w:p>
        </w:tc>
      </w:tr>
      <w:tr w:rsidR="00E42146" w14:paraId="0DBF6DF5" w14:textId="77777777" w:rsidTr="00E42146">
        <w:tc>
          <w:tcPr>
            <w:tcW w:w="4531" w:type="dxa"/>
          </w:tcPr>
          <w:p w14:paraId="306D02E9" w14:textId="2EB10AC6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Restavracije in storitve</w:t>
            </w:r>
          </w:p>
        </w:tc>
        <w:tc>
          <w:tcPr>
            <w:tcW w:w="4531" w:type="dxa"/>
          </w:tcPr>
          <w:p w14:paraId="61156B3A" w14:textId="1A0021CC" w:rsidR="00E42146" w:rsidRDefault="00E42146" w:rsidP="00E42146">
            <w:r>
              <w:t>12</w:t>
            </w:r>
          </w:p>
        </w:tc>
      </w:tr>
      <w:tr w:rsidR="00E42146" w14:paraId="0ECC401B" w14:textId="77777777" w:rsidTr="00E42146">
        <w:tc>
          <w:tcPr>
            <w:tcW w:w="4531" w:type="dxa"/>
          </w:tcPr>
          <w:p w14:paraId="03EA1A56" w14:textId="66E1A13C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Proizvodnja</w:t>
            </w:r>
          </w:p>
        </w:tc>
        <w:tc>
          <w:tcPr>
            <w:tcW w:w="4531" w:type="dxa"/>
          </w:tcPr>
          <w:p w14:paraId="47010FE9" w14:textId="2BF6EC63" w:rsidR="00E42146" w:rsidRDefault="00E42146" w:rsidP="00E42146">
            <w:r>
              <w:t>11</w:t>
            </w:r>
          </w:p>
        </w:tc>
      </w:tr>
      <w:tr w:rsidR="00E42146" w14:paraId="31FF3857" w14:textId="77777777" w:rsidTr="00E42146">
        <w:tc>
          <w:tcPr>
            <w:tcW w:w="4531" w:type="dxa"/>
          </w:tcPr>
          <w:p w14:paraId="4CC3F2D9" w14:textId="2DE5049B" w:rsidR="00E42146" w:rsidRPr="00E42146" w:rsidRDefault="00E42146" w:rsidP="00E42146">
            <w:pPr>
              <w:rPr>
                <w:b/>
                <w:bCs/>
              </w:rPr>
            </w:pPr>
            <w:r w:rsidRPr="00E42146">
              <w:rPr>
                <w:b/>
                <w:bCs/>
              </w:rPr>
              <w:t>Maloprodaja in distribucija</w:t>
            </w:r>
          </w:p>
        </w:tc>
        <w:tc>
          <w:tcPr>
            <w:tcW w:w="4531" w:type="dxa"/>
          </w:tcPr>
          <w:p w14:paraId="14483AAA" w14:textId="45EE6D19" w:rsidR="00E42146" w:rsidRDefault="00E42146" w:rsidP="00E42146">
            <w:r>
              <w:t>9</w:t>
            </w:r>
          </w:p>
        </w:tc>
      </w:tr>
    </w:tbl>
    <w:p w14:paraId="423C938A" w14:textId="77777777" w:rsidR="00E42146" w:rsidRDefault="00E42146" w:rsidP="00E42146"/>
    <w:p w14:paraId="212E98B4" w14:textId="26E68F19" w:rsidR="0059545E" w:rsidRPr="0059545E" w:rsidRDefault="0059545E" w:rsidP="0059545E">
      <w:pPr>
        <w:pStyle w:val="Napis"/>
        <w:keepNext/>
        <w:rPr>
          <w:b/>
          <w:bCs/>
          <w:i w:val="0"/>
          <w:iCs w:val="0"/>
          <w:color w:val="auto"/>
          <w:sz w:val="22"/>
          <w:szCs w:val="22"/>
        </w:rPr>
      </w:pPr>
      <w:r w:rsidRPr="0059545E">
        <w:rPr>
          <w:b/>
          <w:bCs/>
          <w:i w:val="0"/>
          <w:iCs w:val="0"/>
          <w:color w:val="auto"/>
          <w:sz w:val="22"/>
          <w:szCs w:val="22"/>
        </w:rPr>
        <w:t xml:space="preserve">Grafikon </w:t>
      </w:r>
      <w:r w:rsidRPr="0059545E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59545E">
        <w:rPr>
          <w:b/>
          <w:bCs/>
          <w:i w:val="0"/>
          <w:iCs w:val="0"/>
          <w:color w:val="auto"/>
          <w:sz w:val="22"/>
          <w:szCs w:val="22"/>
        </w:rPr>
        <w:instrText xml:space="preserve"> SEQ Grafikon \* ARABIC </w:instrText>
      </w:r>
      <w:r w:rsidRPr="0059545E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59545E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59545E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59545E">
        <w:rPr>
          <w:b/>
          <w:bCs/>
          <w:i w:val="0"/>
          <w:iCs w:val="0"/>
          <w:color w:val="auto"/>
          <w:sz w:val="22"/>
          <w:szCs w:val="22"/>
        </w:rPr>
        <w:t>: Proizvedeni odpadki glede na proizvajalca</w:t>
      </w:r>
    </w:p>
    <w:p w14:paraId="32398BC1" w14:textId="63196478" w:rsidR="00E42146" w:rsidRDefault="0059545E" w:rsidP="0059545E">
      <w:pPr>
        <w:keepNext/>
      </w:pPr>
      <w:r>
        <w:rPr>
          <w:noProof/>
        </w:rPr>
        <w:drawing>
          <wp:inline distT="0" distB="0" distL="0" distR="0" wp14:anchorId="438BFA97" wp14:editId="342898B9">
            <wp:extent cx="5486400" cy="3200400"/>
            <wp:effectExtent l="0" t="0" r="0" b="0"/>
            <wp:docPr id="477740979" name="Grafikon 1" descr="Prikaz proizvedenih odpadkov v kilogramih glede na proizvajalca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5964620" w14:textId="6FD85EE9" w:rsidR="00255B4E" w:rsidRDefault="00255B4E" w:rsidP="00255B4E">
      <w:r>
        <w:t>Več kot polovica živilskih odpadkov v EU prihaja iz gospodinjstev.</w:t>
      </w:r>
    </w:p>
    <w:p w14:paraId="45C1E760" w14:textId="3D83D7A9" w:rsidR="00255B4E" w:rsidRDefault="00255B4E" w:rsidP="00255B4E">
      <w:pPr>
        <w:pStyle w:val="Naslov2"/>
      </w:pPr>
      <w:r>
        <w:lastRenderedPageBreak/>
        <w:t>Prednostni vrstni red za zmanjševanje izgube in odpadkov</w:t>
      </w:r>
    </w:p>
    <w:p w14:paraId="2E28D43D" w14:textId="05DAE07C" w:rsidR="00255B4E" w:rsidRDefault="00255B4E" w:rsidP="00255B4E">
      <w:pPr>
        <w:pStyle w:val="Odstavekseznama"/>
        <w:numPr>
          <w:ilvl w:val="0"/>
          <w:numId w:val="1"/>
        </w:numPr>
      </w:pPr>
      <w:r>
        <w:t>Preprečevanje: načelno preprečevanje izgube hrane in živilskih odpadkov.</w:t>
      </w:r>
    </w:p>
    <w:p w14:paraId="6C92B564" w14:textId="53F31C91" w:rsidR="00255B4E" w:rsidRDefault="00255B4E" w:rsidP="00255B4E">
      <w:pPr>
        <w:pStyle w:val="Odstavekseznama"/>
        <w:numPr>
          <w:ilvl w:val="0"/>
          <w:numId w:val="1"/>
        </w:numPr>
      </w:pPr>
      <w:r>
        <w:t>Ponovna uporaba: ponovna uporaba hrane za prehrano ljudi z razdeljevanjem in prek bank hrane ali sprememba njenega namena za krmo.</w:t>
      </w:r>
    </w:p>
    <w:p w14:paraId="7354197C" w14:textId="6740206A" w:rsidR="00255B4E" w:rsidRDefault="00255B4E" w:rsidP="00255B4E">
      <w:pPr>
        <w:pStyle w:val="Odstavekseznama"/>
        <w:numPr>
          <w:ilvl w:val="0"/>
          <w:numId w:val="1"/>
        </w:numPr>
      </w:pPr>
      <w:r>
        <w:t>Recikliranje: predelava stranskih proizvodov in ponovna uporaba hranljivih snovi, npr. kompostiranje.</w:t>
      </w:r>
    </w:p>
    <w:p w14:paraId="046271DE" w14:textId="0788333E" w:rsidR="00255B4E" w:rsidRDefault="00255B4E" w:rsidP="00255B4E">
      <w:pPr>
        <w:pStyle w:val="Odstavekseznama"/>
        <w:numPr>
          <w:ilvl w:val="0"/>
          <w:numId w:val="1"/>
        </w:numPr>
      </w:pPr>
      <w:r>
        <w:t>Izkoriščanje: pridobivanje energije s sežiganjem.</w:t>
      </w:r>
    </w:p>
    <w:p w14:paraId="3B1899E1" w14:textId="1EE5A16F" w:rsidR="00255B4E" w:rsidRDefault="00495EB9" w:rsidP="00495EB9">
      <w:pPr>
        <w:pStyle w:val="Naslov2"/>
      </w:pPr>
      <w:r>
        <w:t>Cilji za zmanjšanje živilskih odpadkov</w:t>
      </w:r>
    </w:p>
    <w:p w14:paraId="382F78EE" w14:textId="4A75E7C0" w:rsidR="00495EB9" w:rsidRDefault="00495EB9" w:rsidP="00495EB9">
      <w:r>
        <w:t>Evropska komisija je julija 2023 predstavila predlog za revizijo okvirne direktive EU o odpadkih. Revizije vključuje nove pravno zavezujoče cilje za zmanjšanje živilskih odpadkov do leta 2030.</w:t>
      </w:r>
    </w:p>
    <w:p w14:paraId="02866E32" w14:textId="51044469" w:rsidR="00495EB9" w:rsidRDefault="00495EB9" w:rsidP="00495EB9">
      <w:r>
        <w:t xml:space="preserve">Svet EU se je junija 2024 </w:t>
      </w:r>
      <w:r w:rsidR="00540BE3">
        <w:t>dogovoril</w:t>
      </w:r>
      <w:r>
        <w:t xml:space="preserve"> o stališču za pogajanja z Evropskim parlamentom (splošni pristop) o predlaganih ciljih. Svet poziva k zmanjšanju količine živilskih odpadkov do 2030, in sicer:</w:t>
      </w:r>
    </w:p>
    <w:p w14:paraId="21DACA93" w14:textId="345302FE" w:rsidR="00495EB9" w:rsidRDefault="00495EB9" w:rsidP="00495EB9">
      <w:pPr>
        <w:pStyle w:val="Odstavekseznama"/>
        <w:numPr>
          <w:ilvl w:val="0"/>
          <w:numId w:val="2"/>
        </w:numPr>
      </w:pPr>
      <w:r>
        <w:t>10% v predelavi in proizvodnji,</w:t>
      </w:r>
    </w:p>
    <w:p w14:paraId="5791EADB" w14:textId="044AF515" w:rsidR="00495EB9" w:rsidRDefault="00495EB9" w:rsidP="00495EB9">
      <w:pPr>
        <w:pStyle w:val="Odstavekseznama"/>
        <w:numPr>
          <w:ilvl w:val="0"/>
          <w:numId w:val="2"/>
        </w:numPr>
      </w:pPr>
      <w:r>
        <w:t>30% skupno na prebi</w:t>
      </w:r>
      <w:r w:rsidR="00540BE3">
        <w:t>v</w:t>
      </w:r>
      <w:r>
        <w:t>alca pri prodaji na drobno, v restavracija in gostinskih dejavnostih ter gospodinjstvih.</w:t>
      </w:r>
    </w:p>
    <w:p w14:paraId="0DD81324" w14:textId="77777777" w:rsidR="00495EB9" w:rsidRPr="00495EB9" w:rsidRDefault="00495EB9" w:rsidP="00495EB9"/>
    <w:sectPr w:rsidR="00495EB9" w:rsidRPr="0049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400B9"/>
    <w:multiLevelType w:val="hybridMultilevel"/>
    <w:tmpl w:val="C7B05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1A2D"/>
    <w:multiLevelType w:val="hybridMultilevel"/>
    <w:tmpl w:val="D59C4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1442">
    <w:abstractNumId w:val="1"/>
  </w:num>
  <w:num w:numId="2" w16cid:durableId="17087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46"/>
    <w:rsid w:val="000A42D3"/>
    <w:rsid w:val="00255B4E"/>
    <w:rsid w:val="002E1B38"/>
    <w:rsid w:val="00495EB9"/>
    <w:rsid w:val="00540BE3"/>
    <w:rsid w:val="0059545E"/>
    <w:rsid w:val="005C6978"/>
    <w:rsid w:val="0062442D"/>
    <w:rsid w:val="00900FA6"/>
    <w:rsid w:val="0092045A"/>
    <w:rsid w:val="009B1FB1"/>
    <w:rsid w:val="00AE76A7"/>
    <w:rsid w:val="00BF547C"/>
    <w:rsid w:val="00E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1CCA"/>
  <w15:chartTrackingRefBased/>
  <w15:docId w15:val="{4DA0E184-2167-429F-8416-EA9C08D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E4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4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4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4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4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4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4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4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4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E4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4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421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4214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421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4214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421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421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4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4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4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4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4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4214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4214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4214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4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4214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4214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4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E4214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46932414698162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Proizvedeni odpadki (kg)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0A-490A-B1E5-499157C0662F}"/>
              </c:ext>
            </c:extLst>
          </c:dPt>
          <c:dPt>
            <c:idx val="1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0A-490A-B1E5-499157C066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1C0A-490A-B1E5-499157C0662F}"/>
              </c:ext>
            </c:extLst>
          </c:dPt>
          <c:dPt>
            <c:idx val="3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0A-490A-B1E5-499157C066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C0A-490A-B1E5-499157C0662F}"/>
              </c:ext>
            </c:extLst>
          </c:dPt>
          <c:dLbls>
            <c:dLbl>
              <c:idx val="0"/>
              <c:layout>
                <c:manualLayout>
                  <c:x val="3.9351851851851853E-2"/>
                  <c:y val="2.3809523809523881E-2"/>
                </c:manualLayout>
              </c:layout>
              <c:spPr>
                <a:solidFill>
                  <a:sysClr val="windowText" lastClr="0000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1C0A-490A-B1E5-499157C0662F}"/>
                </c:ext>
              </c:extLst>
            </c:dLbl>
            <c:dLbl>
              <c:idx val="1"/>
              <c:layout>
                <c:manualLayout>
                  <c:x val="-8.1018518518518601E-2"/>
                  <c:y val="3.9682539682539611E-2"/>
                </c:manualLayout>
              </c:layout>
              <c:spPr>
                <a:solidFill>
                  <a:sysClr val="windowText" lastClr="0000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1C0A-490A-B1E5-499157C0662F}"/>
                </c:ext>
              </c:extLst>
            </c:dLbl>
            <c:dLbl>
              <c:idx val="2"/>
              <c:layout>
                <c:manualLayout>
                  <c:x val="-7.6388888888888937E-2"/>
                  <c:y val="7.9365079365079361E-3"/>
                </c:manualLayout>
              </c:layout>
              <c:spPr>
                <a:solidFill>
                  <a:sysClr val="windowText" lastClr="0000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1C0A-490A-B1E5-499157C0662F}"/>
                </c:ext>
              </c:extLst>
            </c:dLbl>
            <c:dLbl>
              <c:idx val="3"/>
              <c:layout>
                <c:manualLayout>
                  <c:x val="-8.1018518518518559E-2"/>
                  <c:y val="-2.3809523809523808E-2"/>
                </c:manualLayout>
              </c:layout>
              <c:spPr>
                <a:solidFill>
                  <a:sysClr val="windowText" lastClr="0000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1C0A-490A-B1E5-499157C0662F}"/>
                </c:ext>
              </c:extLst>
            </c:dLbl>
            <c:dLbl>
              <c:idx val="4"/>
              <c:layout>
                <c:manualLayout>
                  <c:x val="-5.3240740740740741E-2"/>
                  <c:y val="-2.7777777777777776E-2"/>
                </c:manualLayout>
              </c:layout>
              <c:spPr>
                <a:solidFill>
                  <a:sysClr val="windowText" lastClr="000000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1C0A-490A-B1E5-499157C0662F}"/>
                </c:ext>
              </c:extLst>
            </c:dLbl>
            <c:spPr>
              <a:solidFill>
                <a:schemeClr val="tx1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List1!$A$2:$A$6</c:f>
              <c:strCache>
                <c:ptCount val="5"/>
                <c:pt idx="0">
                  <c:v>Gospodinjstva</c:v>
                </c:pt>
                <c:pt idx="1">
                  <c:v>Predelava</c:v>
                </c:pt>
                <c:pt idx="2">
                  <c:v>Restavracije in storitve</c:v>
                </c:pt>
                <c:pt idx="3">
                  <c:v>Proizvodnja</c:v>
                </c:pt>
                <c:pt idx="4">
                  <c:v>Maloprodaja in distribucija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70</c:v>
                </c:pt>
                <c:pt idx="1">
                  <c:v>28</c:v>
                </c:pt>
                <c:pt idx="2">
                  <c:v>12</c:v>
                </c:pt>
                <c:pt idx="3">
                  <c:v>11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0A-490A-B1E5-499157C066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Zmanjševanje količin živilskih odpadkov</dc:title>
  <dc:subject/>
  <dc:creator>Jan Drol</dc:creator>
  <cp:keywords/>
  <dc:description/>
  <cp:lastModifiedBy>Jan Drol</cp:lastModifiedBy>
  <cp:revision>2</cp:revision>
  <dcterms:created xsi:type="dcterms:W3CDTF">2024-11-25T08:54:00Z</dcterms:created>
  <dcterms:modified xsi:type="dcterms:W3CDTF">2024-11-25T09:36:00Z</dcterms:modified>
</cp:coreProperties>
</file>