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899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5149"/>
        <w:gridCol w:w="1254"/>
        <w:gridCol w:w="1863"/>
        <w:gridCol w:w="2329"/>
        <w:gridCol w:w="2329"/>
        <w:gridCol w:w="2006"/>
      </w:tblGrid>
      <w:tr w:rsidR="00B661EB" w:rsidRPr="00ED11D8" w14:paraId="55307434" w14:textId="4876CC6F" w:rsidTr="00B661EB">
        <w:trPr>
          <w:trHeight w:val="315"/>
        </w:trPr>
        <w:tc>
          <w:tcPr>
            <w:tcW w:w="1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12C69CA6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 xml:space="preserve">Obrazec št. 1: Načrt pridobivanja nepremičnega premoženja za leto </w:t>
            </w:r>
            <w:r>
              <w:rPr>
                <w:rFonts w:ascii="Arial" w:hAnsi="Arial" w:cs="Arial"/>
                <w:b/>
                <w:bCs/>
              </w:rPr>
              <w:t>2024</w:t>
            </w:r>
            <w:r w:rsidR="00E875EF">
              <w:rPr>
                <w:rFonts w:ascii="Arial" w:hAnsi="Arial" w:cs="Arial"/>
                <w:b/>
                <w:bCs/>
              </w:rPr>
              <w:t>;</w:t>
            </w:r>
            <w:r w:rsidR="00104EB6">
              <w:rPr>
                <w:rFonts w:ascii="Arial" w:hAnsi="Arial" w:cs="Arial"/>
                <w:b/>
                <w:bCs/>
              </w:rPr>
              <w:t>Rebalans 1</w:t>
            </w:r>
            <w:r w:rsidR="00272944">
              <w:rPr>
                <w:rFonts w:ascii="Arial" w:hAnsi="Arial" w:cs="Arial"/>
                <w:b/>
                <w:bCs/>
              </w:rPr>
              <w:t xml:space="preserve"> – september 2024</w:t>
            </w:r>
          </w:p>
          <w:p w14:paraId="5D70A2F2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2B8BDF70" w14:textId="77777777" w:rsidR="00B661EB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  <w:p w14:paraId="582C1E9B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5BD6A979" w14:textId="10D79089" w:rsidR="00B661EB" w:rsidRPr="00ED11D8" w:rsidRDefault="00B661EB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0FC87935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08DA401" w14:textId="16568211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661EB" w:rsidRPr="00ED11D8" w14:paraId="2432B8E1" w14:textId="7DBD9691" w:rsidTr="00B661EB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C249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4ABA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A419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F4DD0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912C9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263FD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348CC4D3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D464324" w14:textId="48FD32A5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B661EB" w:rsidRPr="00ED11D8" w14:paraId="4532DC14" w14:textId="530EA391" w:rsidTr="00B661EB">
        <w:trPr>
          <w:gridAfter w:val="1"/>
          <w:wAfter w:w="2006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Zap.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Vrsta nepremičnine in namen pridobivanja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Okvirna površina(m2)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Predvidena/potrebna sredstva (v €)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5CBD0" w14:textId="64A47F4A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Proračunska postavka</w:t>
            </w:r>
          </w:p>
        </w:tc>
      </w:tr>
      <w:tr w:rsidR="00B661EB" w:rsidRPr="00ED11D8" w14:paraId="10283A5B" w14:textId="1A6C55BC" w:rsidTr="00B661EB">
        <w:trPr>
          <w:gridAfter w:val="1"/>
          <w:wAfter w:w="2006" w:type="dxa"/>
          <w:trHeight w:val="4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C64E" w14:textId="721F9B3C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C54" w14:textId="69E95AC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kategoriziran</w:t>
            </w:r>
            <w:r>
              <w:rPr>
                <w:rFonts w:ascii="Arial" w:eastAsia="Times New Roman" w:hAnsi="Arial" w:cs="Arial"/>
                <w:lang w:eastAsia="sl-SI"/>
              </w:rPr>
              <w:t>e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lang w:eastAsia="sl-SI"/>
              </w:rPr>
              <w:t>javne poti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 JP 787161 Osek-Vitovlje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8CA5" w14:textId="4B37B4A4" w:rsidR="00B661EB" w:rsidRPr="00ED11D8" w:rsidRDefault="008D156E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7181" w14:textId="0D66FB48" w:rsidR="00B661EB" w:rsidRPr="00ED11D8" w:rsidRDefault="008D156E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5.000,00</w:t>
            </w:r>
            <w:r w:rsidR="00B661EB" w:rsidRPr="00ED11D8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B661EB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1C2B8" w14:textId="5D886F46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78FAA747" w14:textId="2362D4BE" w:rsidTr="00B661E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FB0F" w14:textId="38469760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2C0B" w14:textId="2B0B4E8E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614F" w14:textId="43B1D186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</w:t>
            </w:r>
            <w:r>
              <w:rPr>
                <w:rFonts w:ascii="Arial" w:eastAsia="Times New Roman" w:hAnsi="Arial" w:cs="Arial"/>
                <w:lang w:eastAsia="sl-SI"/>
              </w:rPr>
              <w:t>na območju Majskih poljan (zaledna cesta)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0031" w14:textId="79379E41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589B" w14:textId="66E7E1CA" w:rsidR="00B661EB" w:rsidRPr="00ED11D8" w:rsidRDefault="004D2457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D2457">
              <w:rPr>
                <w:rFonts w:ascii="Arial" w:eastAsia="Times New Roman" w:hAnsi="Arial" w:cs="Arial"/>
                <w:lang w:eastAsia="sl-SI"/>
              </w:rPr>
              <w:t>2.236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EF12" w14:textId="140FAFB4" w:rsidR="00B661EB" w:rsidRPr="00ED11D8" w:rsidRDefault="00516D3F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62.000</w:t>
            </w:r>
            <w:r w:rsidR="00B661EB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839F1" w14:textId="40536B02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7DED3B1" w14:textId="7CC9A7A6" w:rsidTr="00B661EB">
        <w:trPr>
          <w:gridAfter w:val="1"/>
          <w:wAfter w:w="2006" w:type="dxa"/>
          <w:trHeight w:val="3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F740" w14:textId="623CF48D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3276" w14:textId="5460E8EC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509" w14:textId="16AD4C78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za zadrževalnik Ščedne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4EA3" w14:textId="08FD69C6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B149" w14:textId="5A0D0E0D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10D6" w14:textId="268F93A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350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17EB1" w14:textId="6FF9E809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07272</w:t>
            </w:r>
          </w:p>
        </w:tc>
      </w:tr>
      <w:tr w:rsidR="00B661EB" w:rsidRPr="00ED11D8" w14:paraId="19DBADAA" w14:textId="62953B38" w:rsidTr="00B661E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051A" w14:textId="336E372D" w:rsidR="00B661EB" w:rsidRPr="00ED11D8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8798" w14:textId="06C4A0DD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A131" w14:textId="6B9D0D1B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struge potoka Potok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FE0" w14:textId="3FC57A0F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BD95" w14:textId="2ECE5F72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  <w:r w:rsidRPr="00ED11D8">
              <w:rPr>
                <w:rFonts w:ascii="Arial" w:eastAsia="Times New Roman" w:hAnsi="Arial" w:cs="Arial"/>
                <w:lang w:eastAsia="sl-SI"/>
              </w:rPr>
              <w:t>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C25D" w14:textId="16DFA895" w:rsidR="00B661EB" w:rsidRPr="00ED11D8" w:rsidRDefault="0081299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80</w:t>
            </w:r>
            <w:r w:rsidR="00B661EB"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 w:rsidR="00B661EB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B1C2" w14:textId="0BEFFD03" w:rsidR="00B661EB" w:rsidRDefault="00601E8E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07339</w:t>
            </w:r>
          </w:p>
        </w:tc>
      </w:tr>
      <w:tr w:rsidR="00B661EB" w:rsidRPr="00FE0C03" w14:paraId="14876CF2" w14:textId="1AAA71E4" w:rsidTr="00B661EB">
        <w:trPr>
          <w:gridAfter w:val="1"/>
          <w:wAfter w:w="2006" w:type="dxa"/>
          <w:trHeight w:val="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26BE" w14:textId="1E997BA5" w:rsidR="00B661EB" w:rsidRPr="00FE0C03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1926" w14:textId="3A9D0A11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D47" w14:textId="1FFE2426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območju Majskih poljan (prečna cesta)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8A8" w14:textId="46D8ADCE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4E7E" w14:textId="2C645FDD" w:rsidR="00B661EB" w:rsidRPr="00FE0C03" w:rsidRDefault="005A255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3355" w14:textId="30F9BF4D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15.000,00 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EC95" w14:textId="024345B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58FAAD9" w14:textId="4D2E1401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23FE" w14:textId="21F49DE1" w:rsidR="00B661EB" w:rsidRPr="00ED11D8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8F8A" w14:textId="46346500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9588" w14:textId="5203B3BD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784673 Šmihel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763E" w14:textId="54C4A9AC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21D6" w14:textId="6F9E6D1A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591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C538" w14:textId="6CA09A58" w:rsidR="00B661EB" w:rsidRPr="00ED11D8" w:rsidRDefault="00CD0C0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  <w:r w:rsidR="00395B17">
              <w:rPr>
                <w:rFonts w:ascii="Arial" w:eastAsia="Times New Roman" w:hAnsi="Arial" w:cs="Arial"/>
                <w:lang w:eastAsia="sl-SI"/>
              </w:rPr>
              <w:t>.000,00</w:t>
            </w:r>
            <w:r w:rsidR="00B661EB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246E5" w14:textId="69D649AE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2B70F3D" w14:textId="23DE37A9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26D3D" w14:textId="47586AC7" w:rsidR="00B661EB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8399" w14:textId="0B3DBC9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2E2C" w14:textId="7FD6CE0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ceste JP 784541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FA31" w14:textId="7FA76A7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C0A15" w14:textId="61CEF77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BB122" w14:textId="52C0006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A0638" w14:textId="5CD58E0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2E6402A" w14:textId="261C8F6D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C8C43" w14:textId="2F0148F3" w:rsidR="00B661EB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DCA4A" w14:textId="2D44727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84EC" w14:textId="77569A5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stavbe in zemljišča kovaškega muzeja, skupaj z delom JP 785694 Lokovec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3E4F" w14:textId="614E7E5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117BE" w14:textId="3799780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850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8B2F6" w14:textId="6A80370F" w:rsidR="00B661EB" w:rsidRDefault="0081299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65</w:t>
            </w:r>
            <w:r w:rsidR="00CA56C5">
              <w:rPr>
                <w:rFonts w:ascii="Arial" w:eastAsia="Times New Roman" w:hAnsi="Arial" w:cs="Arial"/>
                <w:lang w:eastAsia="sl-SI"/>
              </w:rPr>
              <w:t>.000,00</w:t>
            </w:r>
            <w:r w:rsidR="00B661EB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71819" w14:textId="575C739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BA0EEF1" w14:textId="37D52BE2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858F5" w14:textId="7C0499FE" w:rsidR="00B661EB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96B4" w14:textId="7CB38FB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6037" w14:textId="4D9E690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785485 Šempas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FC51" w14:textId="4726822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7D33" w14:textId="436EDD8D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DFC32" w14:textId="4FF29CA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14317" w14:textId="10CB75E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B8B2D89" w14:textId="14C43094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34FB5" w14:textId="7AE25EF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A625" w14:textId="19AA8BE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E003" w14:textId="6C465AB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pokopališču Solkan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B59E" w14:textId="4621B75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6934" w14:textId="5055D203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690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1E501" w14:textId="1AD94D88" w:rsidR="00B661EB" w:rsidRDefault="007E747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32</w:t>
            </w:r>
            <w:r w:rsidR="00B661EB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84FAB" w14:textId="6877A13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8F01A52" w14:textId="03E7CA1C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49A08" w14:textId="3B47F1A6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617C6" w14:textId="2BAD8A1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CBDE" w14:textId="15D3037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LZ 288151 - Ščedenska cesta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BB51" w14:textId="27B0871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E110E" w14:textId="0584067B" w:rsidR="00B661EB" w:rsidRDefault="007E747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285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11F07" w14:textId="6BC88FFE" w:rsidR="00B661EB" w:rsidRDefault="007E747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  <w:r w:rsidR="00B661EB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152A9" w14:textId="37C5BF5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E032D68" w14:textId="38143F85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0AE8" w14:textId="078756B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0DB2" w14:textId="2A45624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F606" w14:textId="7777777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</w:t>
            </w:r>
            <w:r w:rsidR="00145D9C">
              <w:rPr>
                <w:rFonts w:ascii="Arial" w:eastAsia="Times New Roman" w:hAnsi="Arial" w:cs="Arial"/>
                <w:lang w:eastAsia="sl-SI"/>
              </w:rPr>
              <w:t>a parc. št. 63/8 k.o. Šempas</w:t>
            </w:r>
          </w:p>
          <w:p w14:paraId="7F173977" w14:textId="36869DCA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75F1" w14:textId="6876090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6967" w14:textId="3822956A" w:rsidR="00B661EB" w:rsidRDefault="00725BA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548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17FDE" w14:textId="2FEFB0EA" w:rsidR="00B661EB" w:rsidRDefault="00725BA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</w:t>
            </w:r>
            <w:r w:rsidR="00B661EB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5AC5A" w14:textId="384980A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EC78229" w14:textId="55D3965E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1CCBE" w14:textId="02D9206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6652" w14:textId="799B0CA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34B2" w14:textId="6DC7678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OŠ Čepovan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99DC" w14:textId="1244A52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F56E1" w14:textId="7E4B5057" w:rsidR="00B661EB" w:rsidRDefault="0057788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4B3EE" w14:textId="417CCABA" w:rsidR="00B661EB" w:rsidRDefault="0057788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B661EB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C6C0A" w14:textId="76D8AA8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B0C931A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1EA1" w14:textId="1BD855B5" w:rsidR="00B661EB" w:rsidRDefault="00725BA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2D217" w14:textId="08E6788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A0C3" w14:textId="4CE84127" w:rsidR="00B661EB" w:rsidRDefault="00E413B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dveh objektov in zemljišča za izvedbo programov EPK, projekt »Super 8«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1B99" w14:textId="4A2FD58C" w:rsidR="00B661EB" w:rsidRDefault="00E413B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F320" w14:textId="77777777" w:rsidR="00F22928" w:rsidRPr="00FE0C03" w:rsidRDefault="00F22928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zemljišče 1.499</w:t>
            </w:r>
          </w:p>
          <w:p w14:paraId="2FC5B6B7" w14:textId="54DF17EB" w:rsidR="00B661EB" w:rsidRDefault="00F22928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objekta skupaj 2</w:t>
            </w:r>
            <w:r w:rsidR="006052AE">
              <w:rPr>
                <w:rFonts w:ascii="Arial" w:eastAsia="Times New Roman" w:hAnsi="Arial" w:cs="Arial"/>
                <w:lang w:eastAsia="sl-SI"/>
              </w:rPr>
              <w:t>86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F672B" w14:textId="1703D432" w:rsidR="00B661EB" w:rsidRDefault="00F2292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357.6</w:t>
            </w:r>
            <w:r w:rsidR="001404BE">
              <w:rPr>
                <w:rFonts w:ascii="Arial" w:eastAsia="Times New Roman" w:hAnsi="Arial" w:cs="Arial"/>
                <w:lang w:eastAsia="sl-SI"/>
              </w:rPr>
              <w:t>50</w:t>
            </w:r>
            <w:r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5AA8C" w14:textId="44D096B0" w:rsidR="00B661EB" w:rsidRPr="000C6DB1" w:rsidRDefault="00154D41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10263</w:t>
            </w:r>
          </w:p>
        </w:tc>
      </w:tr>
      <w:tr w:rsidR="00BC4A59" w:rsidRPr="00ED11D8" w14:paraId="37D8B499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2312" w14:textId="6163E2A1" w:rsidR="00BC4A59" w:rsidRDefault="0057788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4734" w14:textId="216FA142" w:rsidR="00BC4A59" w:rsidRDefault="00993D6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4B51" w14:textId="102DB7F5" w:rsidR="00BC4A59" w:rsidRPr="00FE0C03" w:rsidRDefault="00993D6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</w:t>
            </w:r>
            <w:r w:rsidR="0039282F">
              <w:rPr>
                <w:rFonts w:ascii="Arial" w:eastAsia="Times New Roman" w:hAnsi="Arial" w:cs="Arial"/>
                <w:lang w:eastAsia="sl-SI"/>
              </w:rPr>
              <w:t>zemljišča parc. št. 533/29, k.o.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2975" w14:textId="03C24F0B" w:rsidR="00BC4A59" w:rsidRDefault="0039282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4ED7" w14:textId="3B0A5497" w:rsidR="00BC4A59" w:rsidRPr="00FE0C03" w:rsidRDefault="00852561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3FB6" w14:textId="5BF3C465" w:rsidR="00BC4A59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FE609" w14:textId="7CDA5E29" w:rsidR="00BC4A59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0202" w:rsidRPr="001F0202" w14:paraId="30AA4947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F0404" w14:textId="4991392D" w:rsidR="00E875EF" w:rsidRPr="001F0202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1047" w14:textId="0E92BF70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5353" w14:textId="007EF5D2" w:rsidR="00E875EF" w:rsidRPr="001F0202" w:rsidRDefault="00E875EF" w:rsidP="00965344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Odkup zemljišč kategorizirane javne poti JP 785012 Liskur 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87B3" w14:textId="5DA09112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8AEA" w14:textId="7F2BE35F" w:rsidR="00E875EF" w:rsidRPr="001F0202" w:rsidRDefault="00E875EF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419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3DEEA" w14:textId="2144FABE" w:rsidR="00E875EF" w:rsidRPr="001F0202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14.000</w:t>
            </w:r>
            <w:r w:rsidR="00395B17">
              <w:rPr>
                <w:rFonts w:ascii="Arial" w:eastAsia="Times New Roman" w:hAnsi="Arial" w:cs="Arial"/>
                <w:lang w:eastAsia="sl-SI"/>
              </w:rPr>
              <w:t>,00</w:t>
            </w:r>
            <w:r w:rsidR="000F6AE1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BA1C7" w14:textId="1033321A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0202" w:rsidRPr="001F0202" w14:paraId="5C949B37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7A950" w14:textId="5BFF4F0C" w:rsidR="00E875EF" w:rsidRPr="001F0202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757B3" w14:textId="5BF461C9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4EC2" w14:textId="21A926FF" w:rsidR="00E875EF" w:rsidRPr="001F0202" w:rsidRDefault="00E875EF" w:rsidP="00965344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Odkup zemljišč kategorizirane lokalne ceste LC 001042 Preserje – Branik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556B" w14:textId="721207B1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7EE45" w14:textId="6E468802" w:rsidR="00E875EF" w:rsidRPr="001F0202" w:rsidRDefault="00E875EF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275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CA569" w14:textId="6C3C5244" w:rsidR="00E875EF" w:rsidRPr="001F0202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A069D7">
              <w:rPr>
                <w:rFonts w:ascii="Arial" w:eastAsia="Times New Roman" w:hAnsi="Arial" w:cs="Arial"/>
                <w:lang w:eastAsia="sl-SI"/>
              </w:rPr>
              <w:t>.450</w:t>
            </w:r>
            <w:r w:rsidR="003D3C24" w:rsidRPr="001F0202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2668A" w14:textId="17B6184C" w:rsidR="00E875EF" w:rsidRPr="001F0202" w:rsidRDefault="003D3C2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0202" w:rsidRPr="001F0202" w14:paraId="00BC1316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164B" w14:textId="469EE204" w:rsidR="001F0202" w:rsidRPr="001F0202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9FB9C" w14:textId="19014EDC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6AA2" w14:textId="7149D6D5" w:rsidR="001F0202" w:rsidRPr="001F0202" w:rsidRDefault="001F0202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Odkup zemljišča parc. št. 478/20, k.o. Stara Gora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B653" w14:textId="163422F3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0502B" w14:textId="190990B2" w:rsidR="001F0202" w:rsidRPr="001F0202" w:rsidRDefault="001F0202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4710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03612" w14:textId="03BFD0E6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5.</w:t>
            </w:r>
            <w:r w:rsidR="00395B17">
              <w:rPr>
                <w:rFonts w:ascii="Arial" w:eastAsia="Times New Roman" w:hAnsi="Arial" w:cs="Arial"/>
                <w:lang w:eastAsia="sl-SI"/>
              </w:rPr>
              <w:t>50</w:t>
            </w:r>
            <w:r w:rsidRPr="001F0202">
              <w:rPr>
                <w:rFonts w:ascii="Arial" w:eastAsia="Times New Roman" w:hAnsi="Arial" w:cs="Arial"/>
                <w:lang w:eastAsia="sl-SI"/>
              </w:rPr>
              <w:t>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73013" w14:textId="07226E93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E5048C" w:rsidRPr="001F0202" w14:paraId="07430B69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C901" w14:textId="246ADBC8" w:rsidR="00E5048C" w:rsidRPr="001F0202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005BA" w14:textId="134F171F" w:rsidR="00E5048C" w:rsidRPr="001F0202" w:rsidRDefault="00E504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8CA9" w14:textId="559D3C1A" w:rsidR="00E5048C" w:rsidRPr="001F0202" w:rsidRDefault="00E5048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lokalne ceste LC 284172 Rožna Dolina – Pristava –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EBF0" w14:textId="17A822F6" w:rsidR="00E5048C" w:rsidRPr="001F0202" w:rsidRDefault="00E504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02709" w14:textId="2851F26A" w:rsidR="00E5048C" w:rsidRPr="001F0202" w:rsidRDefault="00E5048C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65DBB" w14:textId="692BBF6E" w:rsidR="00E5048C" w:rsidRPr="001F0202" w:rsidRDefault="0097710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</w:t>
            </w:r>
            <w:r w:rsidR="00395B17">
              <w:rPr>
                <w:rFonts w:ascii="Arial" w:eastAsia="Times New Roman" w:hAnsi="Arial" w:cs="Arial"/>
                <w:lang w:eastAsia="sl-SI"/>
              </w:rPr>
              <w:t>0</w:t>
            </w:r>
            <w:r w:rsidR="00E5048C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6CA7E" w14:textId="0B05AA85" w:rsidR="00E5048C" w:rsidRPr="001F0202" w:rsidRDefault="00E504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395B17" w:rsidRPr="001F0202" w14:paraId="3D7D779D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01CB4" w14:textId="32E5740A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A25E5" w14:textId="73583501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8973" w14:textId="64E8CA64" w:rsidR="00395B17" w:rsidRDefault="00395B17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784542 Užiče – Vitovlje - Čikavec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D0A8" w14:textId="4CBB09A3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246" w14:textId="0E042B58" w:rsidR="00395B17" w:rsidRDefault="00395B17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CD578" w14:textId="649EAA74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645B8" w14:textId="68EBE732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621E04" w:rsidRPr="001F0202" w14:paraId="167C5242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D780" w14:textId="751E8D41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C16FB" w14:textId="23D13AD9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479E" w14:textId="4DB1A411" w:rsidR="00621E04" w:rsidRDefault="00621E04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parc .št. 60/2</w:t>
            </w:r>
            <w:r w:rsidR="00CD7034">
              <w:rPr>
                <w:rFonts w:ascii="Arial" w:eastAsia="Times New Roman" w:hAnsi="Arial" w:cs="Arial"/>
                <w:lang w:eastAsia="sl-SI"/>
              </w:rPr>
              <w:t xml:space="preserve"> ter parc. št. 60/3</w:t>
            </w:r>
            <w:r>
              <w:rPr>
                <w:rFonts w:ascii="Arial" w:eastAsia="Times New Roman" w:hAnsi="Arial" w:cs="Arial"/>
                <w:lang w:eastAsia="sl-SI"/>
              </w:rPr>
              <w:t>, k.o. Rožna Dolina za potrebe umestitve ekološkega otoka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473A" w14:textId="1DB8C4FB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B32D8" w14:textId="469BE2B3" w:rsidR="00621E04" w:rsidRDefault="009105CA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A59D7" w14:textId="2E8AC0C2" w:rsidR="00621E04" w:rsidRDefault="00725BAC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13.000</w:t>
            </w:r>
            <w:r w:rsidR="00621E04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570FC" w14:textId="673226CE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A069D7" w:rsidRPr="001F0202" w14:paraId="0810F288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E46E" w14:textId="05006ACD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422C2" w14:textId="76B573B5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3B4D" w14:textId="3B626ECF" w:rsidR="00A069D7" w:rsidRDefault="00A069D7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785171 Preserje-Vrh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D61B" w14:textId="2C217B44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BC18B" w14:textId="76BBAEF6" w:rsidR="00A069D7" w:rsidRDefault="00A069D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D587" w14:textId="41926EFE" w:rsidR="00A069D7" w:rsidRDefault="00A069D7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2.900,00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86253" w14:textId="45E174E0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A069D7" w:rsidRPr="001F0202" w14:paraId="2B76AE41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9860" w14:textId="3F541F18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9A2E" w14:textId="0F1CB680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A190" w14:textId="0F44E044" w:rsidR="00A069D7" w:rsidRDefault="00A069D7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nekategorizirane občinske ceste z navezavo na kategorizirano javno pot JP 784081 Spodnja Branica – skozi naselje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FCC2" w14:textId="7303B529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D8A74" w14:textId="5B4CDE96" w:rsidR="00A069D7" w:rsidRDefault="00A069D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2DCE" w14:textId="240C6C21" w:rsidR="00A069D7" w:rsidRDefault="00A069D7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550,00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AEB03" w14:textId="2A9D6B39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A56C5" w:rsidRPr="001F0202" w14:paraId="08F76F82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60EF" w14:textId="55058B7C" w:rsidR="00CA56C5" w:rsidRDefault="00725BA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269FE" w14:textId="07C3388D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25D1" w14:textId="6137B5BD" w:rsidR="00CA56C5" w:rsidRDefault="00CA56C5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zemljišča kategorizirane javne poti JP 786102 Sončna ulica </w:t>
            </w:r>
            <w:r w:rsidR="00865E0D">
              <w:rPr>
                <w:rFonts w:ascii="Arial" w:eastAsia="Times New Roman" w:hAnsi="Arial" w:cs="Arial"/>
                <w:lang w:eastAsia="sl-SI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9606" w14:textId="1CEEB1C6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42884" w14:textId="5D63E9ED" w:rsidR="00CA56C5" w:rsidRDefault="00CA56C5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1C9B" w14:textId="216C538A" w:rsidR="00CA56C5" w:rsidRDefault="00CA56C5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D392E" w14:textId="6470974D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A56C5" w:rsidRPr="001F0202" w14:paraId="4BDE499B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D3BB" w14:textId="0DC21A41" w:rsidR="00CA56C5" w:rsidRDefault="0057788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D63DB" w14:textId="31921955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A7DF" w14:textId="6ECAE176" w:rsidR="00CA56C5" w:rsidRDefault="00CA56C5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785981 Trnovo – mimo žage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CB4A" w14:textId="1CD046FF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38EFB" w14:textId="2955D8A3" w:rsidR="00CA56C5" w:rsidRDefault="00CA56C5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F665" w14:textId="3DBF8771" w:rsidR="00CA56C5" w:rsidRDefault="00CA56C5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1.500,00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957E9" w14:textId="63C289BD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774A4C" w:rsidRPr="001F0202" w14:paraId="5704B8B2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FA67A" w14:textId="480E7598" w:rsidR="00774A4C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29805" w14:textId="2B10239F" w:rsidR="00774A4C" w:rsidRDefault="00774A4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E1D8" w14:textId="64600DAF" w:rsidR="00774A4C" w:rsidRDefault="00774A4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nepremičnin za ureditev starega vaškega jedra v Čepovanu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CFD7" w14:textId="61E43CD2" w:rsidR="00774A4C" w:rsidRDefault="00774A4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46A09" w14:textId="4C53C9B2" w:rsidR="00774A4C" w:rsidRDefault="00B233A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574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A991" w14:textId="5CE45381" w:rsidR="00774A4C" w:rsidRDefault="00774A4C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A18C2" w14:textId="01637353" w:rsidR="00774A4C" w:rsidRDefault="00774A4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069E6" w:rsidRPr="001F0202" w14:paraId="2C347546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E035" w14:textId="4E5ECB91" w:rsidR="00C069E6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2B3E" w14:textId="2D92BA28" w:rsidR="00C069E6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C921" w14:textId="2A59E51B" w:rsidR="00C069E6" w:rsidRDefault="00C069E6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nepremičnine parc. št. *219 ter parc. št. 1100/30, k.o. Prvačina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EE81" w14:textId="719E1CC9" w:rsidR="00C069E6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738D" w14:textId="6728F997" w:rsidR="00C069E6" w:rsidRDefault="00C069E6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6B3E7" w14:textId="3F6C0A41" w:rsidR="00C069E6" w:rsidRDefault="00C069E6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120.000,00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07850" w14:textId="66DA5CC9" w:rsidR="00C069E6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45D9C" w:rsidRPr="001F0202" w14:paraId="21222CEC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51D12" w14:textId="10B2CF1D" w:rsidR="00145D9C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F576" w14:textId="61C7DA87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7302" w14:textId="3802DA60" w:rsidR="00145D9C" w:rsidRDefault="00145D9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nepremičnine parc. št. 1711/5 k.o. Bate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BD9C" w14:textId="7B44C741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F81E" w14:textId="633D2B3B" w:rsidR="00145D9C" w:rsidRDefault="00145D9C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459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66B3" w14:textId="565165DC" w:rsidR="00145D9C" w:rsidRDefault="00145D9C" w:rsidP="00145D9C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jc w:val="left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ab/>
              <w:t>17.000,00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AA5AA" w14:textId="1F198B70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086094" w:rsidRPr="001F0202" w14:paraId="5868AAE8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503B4" w14:textId="2072D83F" w:rsidR="00086094" w:rsidRDefault="0008609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29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BD45B" w14:textId="03CCA65C" w:rsidR="00086094" w:rsidRDefault="0008609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50DE" w14:textId="08CBDA37" w:rsidR="00086094" w:rsidRDefault="008363ED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nepremičnine, parc. št. 2658/2, k.o. Solkan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3C1F" w14:textId="13A94315" w:rsidR="00086094" w:rsidRDefault="008363E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C6B8C" w14:textId="5AC2818F" w:rsidR="00086094" w:rsidRDefault="00346278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69E1F" w14:textId="681E7D4F" w:rsidR="00086094" w:rsidRDefault="00346278" w:rsidP="00346278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1.102,50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CD0F3" w14:textId="4DBDD73D" w:rsidR="00086094" w:rsidRDefault="0034627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38358C" w:rsidRPr="001F0202" w14:paraId="44577CDC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454CB" w14:textId="0B19F321" w:rsidR="0038358C" w:rsidRDefault="003835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5BC66" w14:textId="4C268F74" w:rsidR="0038358C" w:rsidRDefault="003835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67ED" w14:textId="798DDEFE" w:rsidR="0038358C" w:rsidRDefault="0038358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</w:t>
            </w:r>
            <w:r w:rsidR="00336E19">
              <w:rPr>
                <w:rFonts w:ascii="Arial" w:eastAsia="Times New Roman" w:hAnsi="Arial" w:cs="Arial"/>
                <w:lang w:eastAsia="sl-SI"/>
              </w:rPr>
              <w:t xml:space="preserve">nepremičnin, parc. št. 1495, 1534/1, 1535, 1536/1, 1536/2, 1537/1, 1537/2, 3589/3 in 3590/5, vse k.o. </w:t>
            </w:r>
            <w:r w:rsidR="00DB3B97">
              <w:rPr>
                <w:rFonts w:ascii="Arial" w:eastAsia="Times New Roman" w:hAnsi="Arial" w:cs="Arial"/>
                <w:lang w:eastAsia="sl-SI"/>
              </w:rPr>
              <w:t>Vrtojba do deleža 7212/10.000 – zemljišča pod čistilno napravo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C4E4" w14:textId="015DB67E" w:rsidR="0038358C" w:rsidRDefault="00DB3B9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237D8" w14:textId="4257BF95" w:rsidR="0038358C" w:rsidRDefault="0045205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5.724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52B36" w14:textId="2E7D6AEB" w:rsidR="0038358C" w:rsidRDefault="00DB3B97" w:rsidP="00346278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131.655,78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7BD57" w14:textId="748C443E" w:rsidR="0038358C" w:rsidRDefault="00DB3B9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</w:tbl>
    <w:p w14:paraId="557F75E2" w14:textId="4C717ED8" w:rsidR="00BB0694" w:rsidRDefault="00E5048C" w:rsidP="00BB0694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br/>
      </w:r>
    </w:p>
    <w:p w14:paraId="5ABBDCB2" w14:textId="4D8D8A13" w:rsidR="00524CDE" w:rsidRDefault="00BB0694" w:rsidP="0081299D">
      <w:pPr>
        <w:spacing w:after="0" w:afterAutospacing="0"/>
        <w:ind w:left="6372" w:firstLine="708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t xml:space="preserve">SKUPAJ: </w:t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8000A4">
        <w:rPr>
          <w:rFonts w:ascii="Arial" w:eastAsia="Times New Roman" w:hAnsi="Arial" w:cs="Arial"/>
          <w:b/>
          <w:bCs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83744F">
        <w:rPr>
          <w:rFonts w:ascii="Arial" w:eastAsia="Times New Roman" w:hAnsi="Arial" w:cs="Arial"/>
          <w:b/>
          <w:bCs/>
          <w:szCs w:val="20"/>
          <w:lang w:eastAsia="sl-SI"/>
        </w:rPr>
        <w:t>1.</w:t>
      </w:r>
      <w:r w:rsidR="00B73699">
        <w:rPr>
          <w:rFonts w:ascii="Arial" w:eastAsia="Times New Roman" w:hAnsi="Arial" w:cs="Arial"/>
          <w:b/>
          <w:bCs/>
          <w:szCs w:val="20"/>
          <w:lang w:eastAsia="sl-SI"/>
        </w:rPr>
        <w:t>401.408,28</w:t>
      </w:r>
      <w:r w:rsidR="00145D9C">
        <w:rPr>
          <w:rFonts w:ascii="Arial" w:eastAsia="Times New Roman" w:hAnsi="Arial" w:cs="Arial"/>
          <w:b/>
          <w:bCs/>
          <w:szCs w:val="20"/>
          <w:lang w:eastAsia="sl-SI"/>
        </w:rPr>
        <w:t xml:space="preserve"> </w:t>
      </w:r>
      <w:r w:rsidR="005753B8" w:rsidRPr="0036688E">
        <w:rPr>
          <w:rFonts w:ascii="Arial" w:eastAsia="Times New Roman" w:hAnsi="Arial" w:cs="Arial"/>
          <w:b/>
          <w:bCs/>
          <w:szCs w:val="20"/>
          <w:lang w:eastAsia="sl-SI"/>
        </w:rPr>
        <w:t>EUR</w:t>
      </w:r>
    </w:p>
    <w:p w14:paraId="03F79FA1" w14:textId="77777777" w:rsidR="0081299D" w:rsidRDefault="0081299D" w:rsidP="0081299D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642B92EB" w14:textId="77777777" w:rsidR="007A774C" w:rsidRDefault="007A774C" w:rsidP="0081299D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7AE7939A" w14:textId="063F0AD5" w:rsidR="0081299D" w:rsidRPr="007A774C" w:rsidRDefault="00AB297C" w:rsidP="0081299D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D</w:t>
      </w:r>
      <w:r w:rsidR="007A774C" w:rsidRPr="007A774C">
        <w:rPr>
          <w:rFonts w:ascii="Arial" w:eastAsia="Times New Roman" w:hAnsi="Arial" w:cs="Arial"/>
          <w:szCs w:val="20"/>
          <w:lang w:eastAsia="sl-SI"/>
        </w:rPr>
        <w:t>oslej veljavn</w:t>
      </w:r>
      <w:r>
        <w:rPr>
          <w:rFonts w:ascii="Arial" w:eastAsia="Times New Roman" w:hAnsi="Arial" w:cs="Arial"/>
          <w:szCs w:val="20"/>
          <w:lang w:eastAsia="sl-SI"/>
        </w:rPr>
        <w:t>i</w:t>
      </w:r>
      <w:r w:rsidR="007A774C" w:rsidRPr="007A774C">
        <w:rPr>
          <w:rFonts w:ascii="Arial" w:eastAsia="Times New Roman" w:hAnsi="Arial" w:cs="Arial"/>
          <w:szCs w:val="20"/>
          <w:lang w:eastAsia="sl-SI"/>
        </w:rPr>
        <w:t xml:space="preserve"> načrt pridobivanja </w:t>
      </w:r>
      <w:r w:rsidR="007A774C">
        <w:rPr>
          <w:rFonts w:ascii="Arial" w:eastAsia="Times New Roman" w:hAnsi="Arial" w:cs="Arial"/>
          <w:szCs w:val="20"/>
          <w:lang w:eastAsia="sl-SI"/>
        </w:rPr>
        <w:t xml:space="preserve">Mestne občine Nova Gorica za leto 2024 – dopolnitev april, se </w:t>
      </w:r>
      <w:r>
        <w:rPr>
          <w:rFonts w:ascii="Arial" w:eastAsia="Times New Roman" w:hAnsi="Arial" w:cs="Arial"/>
          <w:szCs w:val="20"/>
          <w:lang w:eastAsia="sl-SI"/>
        </w:rPr>
        <w:t xml:space="preserve">vsebinsko sprejemni na način, da se iz njega </w:t>
      </w:r>
      <w:r w:rsidR="007A774C">
        <w:rPr>
          <w:rFonts w:ascii="Arial" w:eastAsia="Times New Roman" w:hAnsi="Arial" w:cs="Arial"/>
          <w:szCs w:val="20"/>
          <w:lang w:eastAsia="sl-SI"/>
        </w:rPr>
        <w:t xml:space="preserve">izloči odkup zemljišč za dostopno pot v PEC Kromberk iz razloga pomanjkanja finančnih sredstev, iz istega razloga se izloči tudi odkup zemljišč kategorizirane javne poti LK 286251 – Bikoreja. </w:t>
      </w:r>
      <w:r w:rsidR="00BF24E0">
        <w:rPr>
          <w:rFonts w:ascii="Arial" w:eastAsia="Times New Roman" w:hAnsi="Arial" w:cs="Arial"/>
          <w:szCs w:val="20"/>
          <w:lang w:eastAsia="sl-SI"/>
        </w:rPr>
        <w:t xml:space="preserve">Oba navedena odkupa se bo poskušalo izvesti v letu 2025. </w:t>
      </w:r>
      <w:r w:rsidR="007A774C">
        <w:rPr>
          <w:rFonts w:ascii="Arial" w:eastAsia="Times New Roman" w:hAnsi="Arial" w:cs="Arial"/>
          <w:szCs w:val="20"/>
          <w:lang w:eastAsia="sl-SI"/>
        </w:rPr>
        <w:t>Odkup zemljišča za potrebe parkirišča gradu Rihemberk se izloči iz veljavnega načrta iz razloga, ker je pogoj za odkup navedene nepremičnine sprememba namembnosti zemljišča</w:t>
      </w:r>
      <w:r w:rsidR="006E58BA">
        <w:rPr>
          <w:rFonts w:ascii="Arial" w:eastAsia="Times New Roman" w:hAnsi="Arial" w:cs="Arial"/>
          <w:szCs w:val="20"/>
          <w:lang w:eastAsia="sl-SI"/>
        </w:rPr>
        <w:t xml:space="preserve">, lastnik zemljišča namreč ne pristaja na prodajo zemljišča po obstoječi namembnosti. </w:t>
      </w:r>
      <w:r w:rsidR="00FD21E3">
        <w:rPr>
          <w:rFonts w:ascii="Arial" w:eastAsia="Times New Roman" w:hAnsi="Arial" w:cs="Arial"/>
          <w:szCs w:val="20"/>
          <w:lang w:eastAsia="sl-SI"/>
        </w:rPr>
        <w:t>Iz veljavnega načrta pridobivanja se izloči tudi odkup zemljišča za potrebe zadrževalnika Liskur, saj je za izvedbo projekta potrebna sprememba namembnosti zemljišč, na katerih se bo nahajal načrtovani zadrževalnik</w:t>
      </w:r>
      <w:r w:rsidR="0016634E">
        <w:rPr>
          <w:rFonts w:ascii="Arial" w:eastAsia="Times New Roman" w:hAnsi="Arial" w:cs="Arial"/>
          <w:szCs w:val="20"/>
          <w:lang w:eastAsia="sl-SI"/>
        </w:rPr>
        <w:t>, brez tega namreč lastnik večine zemljišč, t.j. Stanovanjski sklad Republike Slovenije zemljišč ne sme odtujiti.</w:t>
      </w:r>
    </w:p>
    <w:p w14:paraId="74FB23EF" w14:textId="18778614" w:rsidR="0081299D" w:rsidRPr="00F60F0A" w:rsidRDefault="00F60F0A" w:rsidP="0081299D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 w:rsidRPr="00F60F0A">
        <w:rPr>
          <w:rFonts w:ascii="Arial" w:eastAsia="Times New Roman" w:hAnsi="Arial" w:cs="Arial"/>
          <w:szCs w:val="20"/>
          <w:lang w:eastAsia="sl-SI"/>
        </w:rPr>
        <w:t xml:space="preserve">V načrt se </w:t>
      </w:r>
      <w:r>
        <w:rPr>
          <w:rFonts w:ascii="Arial" w:eastAsia="Times New Roman" w:hAnsi="Arial" w:cs="Arial"/>
          <w:szCs w:val="20"/>
          <w:lang w:eastAsia="sl-SI"/>
        </w:rPr>
        <w:t xml:space="preserve">doda odkup nepremičnine, parc. št. *219 ter parc. št. 1100/30, obe k.o. Prvačina, ki se odkupujeta zaradi zagotavljanja </w:t>
      </w:r>
      <w:r w:rsidR="0016634E">
        <w:rPr>
          <w:rFonts w:ascii="Arial" w:eastAsia="Times New Roman" w:hAnsi="Arial" w:cs="Arial"/>
          <w:szCs w:val="20"/>
          <w:lang w:eastAsia="sl-SI"/>
        </w:rPr>
        <w:t xml:space="preserve">večje </w:t>
      </w:r>
      <w:r>
        <w:rPr>
          <w:rFonts w:ascii="Arial" w:eastAsia="Times New Roman" w:hAnsi="Arial" w:cs="Arial"/>
          <w:szCs w:val="20"/>
          <w:lang w:eastAsia="sl-SI"/>
        </w:rPr>
        <w:t>varnosti in preglednost</w:t>
      </w:r>
      <w:r w:rsidR="0016634E">
        <w:rPr>
          <w:rFonts w:ascii="Arial" w:eastAsia="Times New Roman" w:hAnsi="Arial" w:cs="Arial"/>
          <w:szCs w:val="20"/>
          <w:lang w:eastAsia="sl-SI"/>
        </w:rPr>
        <w:t xml:space="preserve"> v križišču</w:t>
      </w:r>
      <w:r>
        <w:rPr>
          <w:rFonts w:ascii="Arial" w:eastAsia="Times New Roman" w:hAnsi="Arial" w:cs="Arial"/>
          <w:szCs w:val="20"/>
          <w:lang w:eastAsia="sl-SI"/>
        </w:rPr>
        <w:t xml:space="preserve"> ter odkup nepremičnine, parc. št. 1711/5, k.o. Bate, ki se odkupuje za ureditve večnamenskega igrišča in parkirišča od domu krajanov.</w:t>
      </w:r>
      <w:r w:rsidR="0083744F">
        <w:rPr>
          <w:rFonts w:ascii="Arial" w:eastAsia="Times New Roman" w:hAnsi="Arial" w:cs="Arial"/>
          <w:szCs w:val="20"/>
          <w:lang w:eastAsia="sl-SI"/>
        </w:rPr>
        <w:t xml:space="preserve"> Načrtuje se tudi odkup parc. št. 2658/2, k.o. Solkan zaradi ureditve </w:t>
      </w:r>
      <w:r w:rsidR="00BB75A6">
        <w:rPr>
          <w:rFonts w:ascii="Arial" w:eastAsia="Times New Roman" w:hAnsi="Arial" w:cs="Arial"/>
          <w:szCs w:val="20"/>
          <w:lang w:eastAsia="sl-SI"/>
        </w:rPr>
        <w:t>lastništva poti.</w:t>
      </w:r>
      <w:r w:rsidR="00B73699">
        <w:rPr>
          <w:rFonts w:ascii="Arial" w:eastAsia="Times New Roman" w:hAnsi="Arial" w:cs="Arial"/>
          <w:szCs w:val="20"/>
          <w:lang w:eastAsia="sl-SI"/>
        </w:rPr>
        <w:t xml:space="preserve"> V načrt se dodaja tudi odkup solastniškega deleža </w:t>
      </w:r>
      <w:r w:rsidR="009765BC">
        <w:rPr>
          <w:rFonts w:ascii="Arial" w:eastAsia="Times New Roman" w:hAnsi="Arial" w:cs="Arial"/>
          <w:szCs w:val="20"/>
          <w:lang w:eastAsia="sl-SI"/>
        </w:rPr>
        <w:t xml:space="preserve">do 7212/10000 na </w:t>
      </w:r>
      <w:r w:rsidR="00B73699">
        <w:rPr>
          <w:rFonts w:ascii="Arial" w:eastAsia="Times New Roman" w:hAnsi="Arial" w:cs="Arial"/>
          <w:szCs w:val="20"/>
          <w:lang w:eastAsia="sl-SI"/>
        </w:rPr>
        <w:t>nepremičninah</w:t>
      </w:r>
      <w:r w:rsidR="009765BC">
        <w:rPr>
          <w:rFonts w:ascii="Arial" w:eastAsia="Times New Roman" w:hAnsi="Arial" w:cs="Arial"/>
          <w:szCs w:val="20"/>
          <w:lang w:eastAsia="sl-SI"/>
        </w:rPr>
        <w:t xml:space="preserve">, ki v naravi predstavljajo zemljišča, na katerih stoji čistilna naprava </w:t>
      </w:r>
      <w:r w:rsidR="00C44D32">
        <w:rPr>
          <w:rFonts w:ascii="Arial" w:eastAsia="Times New Roman" w:hAnsi="Arial" w:cs="Arial"/>
          <w:szCs w:val="20"/>
          <w:lang w:eastAsia="sl-SI"/>
        </w:rPr>
        <w:t>v Vrtojbi.</w:t>
      </w:r>
    </w:p>
    <w:p w14:paraId="16E7081F" w14:textId="77777777" w:rsidR="0081299D" w:rsidRPr="004E52F1" w:rsidRDefault="0081299D" w:rsidP="0081299D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sectPr w:rsidR="0081299D" w:rsidRPr="004E52F1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A27D7"/>
    <w:multiLevelType w:val="hybridMultilevel"/>
    <w:tmpl w:val="D7A0B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4803"/>
    <w:multiLevelType w:val="hybridMultilevel"/>
    <w:tmpl w:val="CAC2F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236822">
    <w:abstractNumId w:val="1"/>
  </w:num>
  <w:num w:numId="2" w16cid:durableId="5038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3B1"/>
    <w:rsid w:val="00020269"/>
    <w:rsid w:val="000227F7"/>
    <w:rsid w:val="000500F4"/>
    <w:rsid w:val="00060AED"/>
    <w:rsid w:val="00074C9A"/>
    <w:rsid w:val="00080374"/>
    <w:rsid w:val="00082B60"/>
    <w:rsid w:val="00083A1A"/>
    <w:rsid w:val="00086094"/>
    <w:rsid w:val="00092DB8"/>
    <w:rsid w:val="000A67F6"/>
    <w:rsid w:val="000B11CB"/>
    <w:rsid w:val="000B3369"/>
    <w:rsid w:val="000B3442"/>
    <w:rsid w:val="000C5896"/>
    <w:rsid w:val="000C673A"/>
    <w:rsid w:val="000C7C2D"/>
    <w:rsid w:val="000D5111"/>
    <w:rsid w:val="000E590E"/>
    <w:rsid w:val="000F1538"/>
    <w:rsid w:val="000F6AE1"/>
    <w:rsid w:val="001002FB"/>
    <w:rsid w:val="00101EA2"/>
    <w:rsid w:val="00104EB6"/>
    <w:rsid w:val="0011628C"/>
    <w:rsid w:val="00124E22"/>
    <w:rsid w:val="00133270"/>
    <w:rsid w:val="001404BE"/>
    <w:rsid w:val="0014383F"/>
    <w:rsid w:val="00145D9C"/>
    <w:rsid w:val="00147C52"/>
    <w:rsid w:val="00154D41"/>
    <w:rsid w:val="00164E62"/>
    <w:rsid w:val="0016634E"/>
    <w:rsid w:val="001A1417"/>
    <w:rsid w:val="001B4A7B"/>
    <w:rsid w:val="001C36AD"/>
    <w:rsid w:val="001C6545"/>
    <w:rsid w:val="001C6701"/>
    <w:rsid w:val="001F0202"/>
    <w:rsid w:val="001F1D98"/>
    <w:rsid w:val="00205725"/>
    <w:rsid w:val="00211668"/>
    <w:rsid w:val="0021393C"/>
    <w:rsid w:val="0022137C"/>
    <w:rsid w:val="00237ED7"/>
    <w:rsid w:val="00255659"/>
    <w:rsid w:val="002630E8"/>
    <w:rsid w:val="00272944"/>
    <w:rsid w:val="00280119"/>
    <w:rsid w:val="00283D54"/>
    <w:rsid w:val="00284EEC"/>
    <w:rsid w:val="00284FBF"/>
    <w:rsid w:val="002919A5"/>
    <w:rsid w:val="00293D3C"/>
    <w:rsid w:val="00295E10"/>
    <w:rsid w:val="002A587A"/>
    <w:rsid w:val="002A6226"/>
    <w:rsid w:val="002E7836"/>
    <w:rsid w:val="002F76FE"/>
    <w:rsid w:val="002F7F07"/>
    <w:rsid w:val="00304613"/>
    <w:rsid w:val="0031293B"/>
    <w:rsid w:val="003161D9"/>
    <w:rsid w:val="00336E19"/>
    <w:rsid w:val="003445AA"/>
    <w:rsid w:val="00345036"/>
    <w:rsid w:val="00346278"/>
    <w:rsid w:val="00355671"/>
    <w:rsid w:val="0036688E"/>
    <w:rsid w:val="0038358C"/>
    <w:rsid w:val="0039282F"/>
    <w:rsid w:val="00395B17"/>
    <w:rsid w:val="003B17A2"/>
    <w:rsid w:val="003D3C24"/>
    <w:rsid w:val="003D41CD"/>
    <w:rsid w:val="003D501F"/>
    <w:rsid w:val="003F6B69"/>
    <w:rsid w:val="00404CB9"/>
    <w:rsid w:val="004229FF"/>
    <w:rsid w:val="00452057"/>
    <w:rsid w:val="004618AC"/>
    <w:rsid w:val="00463E12"/>
    <w:rsid w:val="00476F37"/>
    <w:rsid w:val="00484C77"/>
    <w:rsid w:val="004B1AD5"/>
    <w:rsid w:val="004B2554"/>
    <w:rsid w:val="004D2457"/>
    <w:rsid w:val="004E236B"/>
    <w:rsid w:val="004E447B"/>
    <w:rsid w:val="004E52F1"/>
    <w:rsid w:val="004F2CF8"/>
    <w:rsid w:val="004F4E4F"/>
    <w:rsid w:val="005037EF"/>
    <w:rsid w:val="0050405E"/>
    <w:rsid w:val="005049EC"/>
    <w:rsid w:val="00514078"/>
    <w:rsid w:val="00516D3F"/>
    <w:rsid w:val="00524CDE"/>
    <w:rsid w:val="00552A04"/>
    <w:rsid w:val="005753B8"/>
    <w:rsid w:val="00577888"/>
    <w:rsid w:val="00583022"/>
    <w:rsid w:val="005A255F"/>
    <w:rsid w:val="005A75BA"/>
    <w:rsid w:val="005B0BAB"/>
    <w:rsid w:val="005C03B1"/>
    <w:rsid w:val="005D106F"/>
    <w:rsid w:val="005D3B3F"/>
    <w:rsid w:val="005E1186"/>
    <w:rsid w:val="005F1569"/>
    <w:rsid w:val="005F5997"/>
    <w:rsid w:val="00601E8E"/>
    <w:rsid w:val="006052AE"/>
    <w:rsid w:val="00621E04"/>
    <w:rsid w:val="00630366"/>
    <w:rsid w:val="00677562"/>
    <w:rsid w:val="006C4DC9"/>
    <w:rsid w:val="006D18E8"/>
    <w:rsid w:val="006D5C15"/>
    <w:rsid w:val="006E58BA"/>
    <w:rsid w:val="006E7428"/>
    <w:rsid w:val="0072566A"/>
    <w:rsid w:val="00725BAC"/>
    <w:rsid w:val="00751B9E"/>
    <w:rsid w:val="00754A8B"/>
    <w:rsid w:val="007670AC"/>
    <w:rsid w:val="00774A4C"/>
    <w:rsid w:val="007A774C"/>
    <w:rsid w:val="007B25DF"/>
    <w:rsid w:val="007D5785"/>
    <w:rsid w:val="007E747B"/>
    <w:rsid w:val="007F1248"/>
    <w:rsid w:val="008000A4"/>
    <w:rsid w:val="0081299D"/>
    <w:rsid w:val="008363ED"/>
    <w:rsid w:val="0083744F"/>
    <w:rsid w:val="00840FEE"/>
    <w:rsid w:val="00852561"/>
    <w:rsid w:val="00860AA6"/>
    <w:rsid w:val="00865E0D"/>
    <w:rsid w:val="008A1408"/>
    <w:rsid w:val="008C4C84"/>
    <w:rsid w:val="008D156E"/>
    <w:rsid w:val="008F2628"/>
    <w:rsid w:val="009043D4"/>
    <w:rsid w:val="009105CA"/>
    <w:rsid w:val="009108B2"/>
    <w:rsid w:val="009117B5"/>
    <w:rsid w:val="00915D09"/>
    <w:rsid w:val="00931CA8"/>
    <w:rsid w:val="009429E9"/>
    <w:rsid w:val="00960DF2"/>
    <w:rsid w:val="00965344"/>
    <w:rsid w:val="00965F5B"/>
    <w:rsid w:val="009702F4"/>
    <w:rsid w:val="009765BC"/>
    <w:rsid w:val="0097710A"/>
    <w:rsid w:val="00993D66"/>
    <w:rsid w:val="009A4AA0"/>
    <w:rsid w:val="009A773C"/>
    <w:rsid w:val="009C1DEF"/>
    <w:rsid w:val="009D0446"/>
    <w:rsid w:val="009E3ECD"/>
    <w:rsid w:val="009E6C49"/>
    <w:rsid w:val="009F2BF7"/>
    <w:rsid w:val="00A069D7"/>
    <w:rsid w:val="00A178B5"/>
    <w:rsid w:val="00A34B4E"/>
    <w:rsid w:val="00A4107C"/>
    <w:rsid w:val="00A46E27"/>
    <w:rsid w:val="00A6181D"/>
    <w:rsid w:val="00A734D6"/>
    <w:rsid w:val="00A76374"/>
    <w:rsid w:val="00AA0A94"/>
    <w:rsid w:val="00AA1274"/>
    <w:rsid w:val="00AB297C"/>
    <w:rsid w:val="00AB4259"/>
    <w:rsid w:val="00AC083A"/>
    <w:rsid w:val="00AD5415"/>
    <w:rsid w:val="00AE023F"/>
    <w:rsid w:val="00AF0B55"/>
    <w:rsid w:val="00B06CB3"/>
    <w:rsid w:val="00B07A7A"/>
    <w:rsid w:val="00B233A7"/>
    <w:rsid w:val="00B23EF7"/>
    <w:rsid w:val="00B260AF"/>
    <w:rsid w:val="00B30431"/>
    <w:rsid w:val="00B51165"/>
    <w:rsid w:val="00B61EDF"/>
    <w:rsid w:val="00B661EB"/>
    <w:rsid w:val="00B673BD"/>
    <w:rsid w:val="00B73699"/>
    <w:rsid w:val="00BB0694"/>
    <w:rsid w:val="00BB75A6"/>
    <w:rsid w:val="00BC4A59"/>
    <w:rsid w:val="00BF24E0"/>
    <w:rsid w:val="00BF3D95"/>
    <w:rsid w:val="00C009B2"/>
    <w:rsid w:val="00C069E6"/>
    <w:rsid w:val="00C10E4D"/>
    <w:rsid w:val="00C30F27"/>
    <w:rsid w:val="00C44D32"/>
    <w:rsid w:val="00C4626F"/>
    <w:rsid w:val="00C50F41"/>
    <w:rsid w:val="00C51E6B"/>
    <w:rsid w:val="00C7707E"/>
    <w:rsid w:val="00C97C23"/>
    <w:rsid w:val="00CA38B8"/>
    <w:rsid w:val="00CA56C5"/>
    <w:rsid w:val="00CB3827"/>
    <w:rsid w:val="00CD0C03"/>
    <w:rsid w:val="00CD7034"/>
    <w:rsid w:val="00CD74F1"/>
    <w:rsid w:val="00CD7E71"/>
    <w:rsid w:val="00CF6035"/>
    <w:rsid w:val="00D16671"/>
    <w:rsid w:val="00D30F6C"/>
    <w:rsid w:val="00D445C1"/>
    <w:rsid w:val="00D45183"/>
    <w:rsid w:val="00D46E33"/>
    <w:rsid w:val="00D47ABA"/>
    <w:rsid w:val="00D93E7E"/>
    <w:rsid w:val="00DA0381"/>
    <w:rsid w:val="00DA5658"/>
    <w:rsid w:val="00DB3B97"/>
    <w:rsid w:val="00DE5179"/>
    <w:rsid w:val="00E028D4"/>
    <w:rsid w:val="00E1457A"/>
    <w:rsid w:val="00E27C87"/>
    <w:rsid w:val="00E35520"/>
    <w:rsid w:val="00E413B3"/>
    <w:rsid w:val="00E5048C"/>
    <w:rsid w:val="00E61031"/>
    <w:rsid w:val="00E637A2"/>
    <w:rsid w:val="00E6385E"/>
    <w:rsid w:val="00E875EF"/>
    <w:rsid w:val="00ED11D8"/>
    <w:rsid w:val="00F020D9"/>
    <w:rsid w:val="00F116F5"/>
    <w:rsid w:val="00F2123E"/>
    <w:rsid w:val="00F22928"/>
    <w:rsid w:val="00F261B0"/>
    <w:rsid w:val="00F32016"/>
    <w:rsid w:val="00F44E53"/>
    <w:rsid w:val="00F564C9"/>
    <w:rsid w:val="00F60F0A"/>
    <w:rsid w:val="00F6539C"/>
    <w:rsid w:val="00F73738"/>
    <w:rsid w:val="00F768EF"/>
    <w:rsid w:val="00F82306"/>
    <w:rsid w:val="00F84A4D"/>
    <w:rsid w:val="00FA5389"/>
    <w:rsid w:val="00FD21E3"/>
    <w:rsid w:val="00FD46DB"/>
    <w:rsid w:val="00FD56F0"/>
    <w:rsid w:val="00FD5A57"/>
    <w:rsid w:val="00FE04DC"/>
    <w:rsid w:val="00FE0C03"/>
    <w:rsid w:val="00FE4336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4C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0366"/>
    <w:pPr>
      <w:ind w:left="720"/>
      <w:contextualSpacing/>
    </w:pPr>
  </w:style>
  <w:style w:type="table" w:styleId="Tabelamrea">
    <w:name w:val="Table Grid"/>
    <w:basedOn w:val="Navadnatabela"/>
    <w:uiPriority w:val="39"/>
    <w:rsid w:val="00AC083A"/>
    <w:pPr>
      <w:spacing w:after="0" w:afterAutospacing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16</cp:revision>
  <cp:lastPrinted>2024-05-22T14:15:00Z</cp:lastPrinted>
  <dcterms:created xsi:type="dcterms:W3CDTF">2024-08-20T14:05:00Z</dcterms:created>
  <dcterms:modified xsi:type="dcterms:W3CDTF">2024-08-29T07:19:00Z</dcterms:modified>
</cp:coreProperties>
</file>