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728C00D1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7565A1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79/18, </w:t>
      </w:r>
      <w:r w:rsidR="007565A1">
        <w:rPr>
          <w:rFonts w:ascii="Arial" w:hAnsi="Arial" w:cs="Arial"/>
          <w:sz w:val="22"/>
          <w:szCs w:val="22"/>
          <w:lang w:val="sl-SI"/>
        </w:rPr>
        <w:t>78/</w:t>
      </w:r>
      <w:r w:rsidR="00F2117E">
        <w:rPr>
          <w:rFonts w:ascii="Arial" w:hAnsi="Arial" w:cs="Arial"/>
          <w:sz w:val="22"/>
          <w:szCs w:val="22"/>
          <w:lang w:val="sl-SI"/>
        </w:rPr>
        <w:t>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6708DE">
        <w:rPr>
          <w:rFonts w:ascii="Arial" w:hAnsi="Arial" w:cs="Arial"/>
          <w:sz w:val="22"/>
          <w:szCs w:val="22"/>
          <w:lang w:val="sl-SI"/>
        </w:rPr>
        <w:t>,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C7F338" w14:textId="77777777" w:rsidR="006708DE" w:rsidRDefault="006708DE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79EC08A6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E10F68">
        <w:rPr>
          <w:rFonts w:ascii="Arial" w:eastAsia="Times New Roman" w:hAnsi="Arial" w:cs="Arial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noProof/>
          <w:sz w:val="22"/>
          <w:szCs w:val="22"/>
          <w:lang w:val="sl-SI"/>
        </w:rPr>
        <w:t>5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1A1DB783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noProof/>
          <w:sz w:val="22"/>
          <w:szCs w:val="22"/>
          <w:lang w:val="sl-SI"/>
        </w:rPr>
        <w:t>5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</w:t>
      </w:r>
      <w:r w:rsidR="00D56A02">
        <w:rPr>
          <w:rFonts w:ascii="Arial" w:eastAsia="Times New Roman" w:hAnsi="Arial" w:cs="Arial"/>
          <w:noProof/>
          <w:sz w:val="22"/>
          <w:szCs w:val="22"/>
          <w:lang w:val="sl-SI"/>
        </w:rPr>
        <w:t>spremembe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1C2489" w:rsidRPr="001C2489">
        <w:rPr>
          <w:rFonts w:ascii="Arial" w:eastAsia="Times New Roman" w:hAnsi="Arial" w:cs="Arial"/>
          <w:noProof/>
          <w:sz w:val="22"/>
          <w:szCs w:val="22"/>
          <w:lang w:val="sl-SI"/>
        </w:rPr>
        <w:t>194.314,5</w:t>
      </w:r>
      <w:r w:rsidR="001C2489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4 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>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0E9862DB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noProof/>
          <w:sz w:val="22"/>
          <w:szCs w:val="22"/>
          <w:lang w:val="sl-SI"/>
        </w:rPr>
        <w:t>5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</w:t>
      </w:r>
      <w:r w:rsidR="00D56A02">
        <w:rPr>
          <w:rFonts w:ascii="Arial" w:eastAsia="Times New Roman" w:hAnsi="Arial" w:cs="Arial"/>
          <w:noProof/>
          <w:sz w:val="22"/>
          <w:szCs w:val="22"/>
          <w:lang w:val="sl-SI"/>
        </w:rPr>
        <w:t>spremembe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1C2489" w:rsidRPr="001C2489">
        <w:rPr>
          <w:rFonts w:ascii="Arial" w:eastAsia="Times New Roman" w:hAnsi="Arial" w:cs="Arial"/>
          <w:noProof/>
          <w:sz w:val="22"/>
          <w:szCs w:val="22"/>
          <w:lang w:val="sl-SI"/>
        </w:rPr>
        <w:t>934.337,6</w:t>
      </w:r>
      <w:r w:rsidR="001C2489">
        <w:rPr>
          <w:rFonts w:ascii="Arial" w:eastAsia="Times New Roman" w:hAnsi="Arial" w:cs="Arial"/>
          <w:noProof/>
          <w:sz w:val="22"/>
          <w:szCs w:val="22"/>
          <w:lang w:val="sl-SI"/>
        </w:rPr>
        <w:t>0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4981EEC5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 xml:space="preserve">Ta sklep začne veljati z dnem uveljavitve Odloka o </w:t>
      </w:r>
      <w:r w:rsidR="00D56A02">
        <w:rPr>
          <w:rFonts w:ascii="Arial" w:hAnsi="Arial" w:cs="Arial"/>
          <w:noProof/>
          <w:sz w:val="22"/>
          <w:szCs w:val="22"/>
          <w:lang w:val="sl-SI"/>
        </w:rPr>
        <w:t>spremembah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l-SI"/>
        </w:rPr>
        <w:t>proračun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>a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E8024A">
        <w:rPr>
          <w:rFonts w:ascii="Arial" w:hAnsi="Arial" w:cs="Arial"/>
          <w:noProof/>
          <w:sz w:val="22"/>
          <w:szCs w:val="22"/>
          <w:lang w:val="sl-SI"/>
        </w:rPr>
        <w:t>2024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05E2332B" w14:textId="77777777" w:rsidR="006708DE" w:rsidRDefault="006708DE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4D1D9989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 w:rsidR="00DC1C61">
        <w:rPr>
          <w:rFonts w:ascii="Arial" w:hAnsi="Arial" w:cs="Arial"/>
          <w:noProof/>
          <w:sz w:val="22"/>
          <w:szCs w:val="22"/>
          <w:lang w:val="sl-SI"/>
        </w:rPr>
        <w:t>4780-000</w:t>
      </w:r>
      <w:r w:rsidR="007C59CF">
        <w:rPr>
          <w:rFonts w:ascii="Arial" w:hAnsi="Arial" w:cs="Arial"/>
          <w:noProof/>
          <w:sz w:val="22"/>
          <w:szCs w:val="22"/>
          <w:lang w:val="sl-SI"/>
        </w:rPr>
        <w:t>4</w:t>
      </w:r>
      <w:r w:rsidR="00DC1C61">
        <w:rPr>
          <w:rFonts w:ascii="Arial" w:hAnsi="Arial" w:cs="Arial"/>
          <w:noProof/>
          <w:sz w:val="22"/>
          <w:szCs w:val="22"/>
          <w:lang w:val="sl-SI"/>
        </w:rPr>
        <w:t>/2024</w:t>
      </w:r>
    </w:p>
    <w:p w14:paraId="6AB5C56E" w14:textId="602E2A93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6708DE">
        <w:rPr>
          <w:rFonts w:ascii="Arial" w:hAnsi="Arial" w:cs="Arial"/>
          <w:noProof/>
          <w:sz w:val="22"/>
          <w:szCs w:val="22"/>
          <w:lang w:val="sl-SI"/>
        </w:rPr>
        <w:t xml:space="preserve"> dne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3DC18674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>: 4780-000</w:t>
      </w:r>
      <w:r w:rsidR="007C59CF">
        <w:rPr>
          <w:rFonts w:ascii="Arial" w:hAnsi="Arial" w:cs="Arial"/>
          <w:sz w:val="22"/>
          <w:szCs w:val="22"/>
        </w:rPr>
        <w:t>4</w:t>
      </w:r>
      <w:r w:rsidR="006937D9">
        <w:rPr>
          <w:rFonts w:ascii="Arial" w:hAnsi="Arial" w:cs="Arial"/>
          <w:sz w:val="22"/>
          <w:szCs w:val="22"/>
        </w:rPr>
        <w:t>/202</w:t>
      </w:r>
      <w:r w:rsidR="00DC1C61">
        <w:rPr>
          <w:rFonts w:ascii="Arial" w:hAnsi="Arial" w:cs="Arial"/>
          <w:sz w:val="22"/>
          <w:szCs w:val="22"/>
        </w:rPr>
        <w:t>4</w:t>
      </w:r>
      <w:r w:rsidR="009B25E6">
        <w:rPr>
          <w:rFonts w:ascii="Arial" w:hAnsi="Arial" w:cs="Arial"/>
          <w:sz w:val="22"/>
          <w:szCs w:val="22"/>
        </w:rPr>
        <w:t>-</w:t>
      </w:r>
      <w:r w:rsidR="007C59CF">
        <w:rPr>
          <w:rFonts w:ascii="Arial" w:hAnsi="Arial" w:cs="Arial"/>
          <w:sz w:val="22"/>
          <w:szCs w:val="22"/>
        </w:rPr>
        <w:t>4</w:t>
      </w:r>
    </w:p>
    <w:p w14:paraId="7BB4EDA3" w14:textId="2799D250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7C59CF">
        <w:rPr>
          <w:rFonts w:ascii="Arial" w:hAnsi="Arial" w:cs="Arial"/>
          <w:sz w:val="22"/>
          <w:szCs w:val="22"/>
        </w:rPr>
        <w:t>29</w:t>
      </w:r>
      <w:r w:rsidR="00D019C7">
        <w:rPr>
          <w:rFonts w:ascii="Arial" w:hAnsi="Arial" w:cs="Arial"/>
          <w:sz w:val="22"/>
          <w:szCs w:val="22"/>
        </w:rPr>
        <w:t xml:space="preserve">. </w:t>
      </w:r>
      <w:r w:rsidR="007C59CF">
        <w:rPr>
          <w:rFonts w:ascii="Arial" w:hAnsi="Arial" w:cs="Arial"/>
          <w:sz w:val="22"/>
          <w:szCs w:val="22"/>
        </w:rPr>
        <w:t xml:space="preserve">novembra </w:t>
      </w:r>
      <w:r w:rsidR="00D019C7">
        <w:rPr>
          <w:rFonts w:ascii="Arial" w:hAnsi="Arial" w:cs="Arial"/>
          <w:sz w:val="22"/>
          <w:szCs w:val="22"/>
        </w:rPr>
        <w:t>202</w:t>
      </w:r>
      <w:r w:rsidR="00DC1C61">
        <w:rPr>
          <w:rFonts w:ascii="Arial" w:hAnsi="Arial" w:cs="Arial"/>
          <w:sz w:val="22"/>
          <w:szCs w:val="22"/>
        </w:rPr>
        <w:t>4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28675EB3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</w:t>
      </w:r>
      <w:r w:rsidR="00B6360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in 78/23 - ZORR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686D996E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5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5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lov prid</w:t>
      </w:r>
      <w:r w:rsidR="00B538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bivanja nepremičnega premoženja znaša </w:t>
      </w:r>
      <w:r w:rsidR="009412FC" w:rsidRPr="009412F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194.314,54</w:t>
      </w:r>
      <w:r w:rsidR="009412F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9412FC" w:rsidRPr="009412F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934.337,60</w:t>
      </w:r>
      <w:r w:rsidR="009412F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1B673559" w:rsidR="001B4541" w:rsidRDefault="004444E6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</w:t>
      </w:r>
      <w:r w:rsidR="009F0655">
        <w:rPr>
          <w:rFonts w:ascii="Arial" w:hAnsi="Arial" w:cs="Arial"/>
          <w:b w:val="0"/>
          <w:bCs w:val="0"/>
          <w:sz w:val="22"/>
          <w:szCs w:val="22"/>
          <w:lang w:val="sl-SI"/>
        </w:rPr>
        <w:t>sl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užb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>e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za premoženjske zadeve</w:t>
      </w:r>
    </w:p>
    <w:p w14:paraId="0CD32923" w14:textId="4B75D0A1" w:rsidR="00A91A64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C7F9454" w14:textId="77777777" w:rsidR="00DF2E2F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DFB6CA3" w14:textId="77777777" w:rsidR="00632154" w:rsidRDefault="0063215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793BB823" w14:textId="56D5BDD1" w:rsidR="00DF2E2F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Višji svetovalec za premoženjske zadeve</w:t>
      </w:r>
    </w:p>
    <w:p w14:paraId="061D52F0" w14:textId="55FD7F0F" w:rsidR="00DF2E2F" w:rsidRPr="001B4541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Matjaž Rosič</w:t>
      </w:r>
    </w:p>
    <w:p w14:paraId="5E53407A" w14:textId="6E94DAA4" w:rsidR="00593833" w:rsidRPr="008608C5" w:rsidRDefault="00593833" w:rsidP="00A91A64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A1478"/>
    <w:rsid w:val="000D059E"/>
    <w:rsid w:val="00146382"/>
    <w:rsid w:val="00186C3F"/>
    <w:rsid w:val="001B4541"/>
    <w:rsid w:val="001C2489"/>
    <w:rsid w:val="001D334E"/>
    <w:rsid w:val="00261AC8"/>
    <w:rsid w:val="002927AF"/>
    <w:rsid w:val="002A5B83"/>
    <w:rsid w:val="002B019D"/>
    <w:rsid w:val="002E5FAD"/>
    <w:rsid w:val="002F4A2F"/>
    <w:rsid w:val="003A41FB"/>
    <w:rsid w:val="003A425A"/>
    <w:rsid w:val="003C5616"/>
    <w:rsid w:val="003C7C9F"/>
    <w:rsid w:val="004444E6"/>
    <w:rsid w:val="00444E0B"/>
    <w:rsid w:val="004620DF"/>
    <w:rsid w:val="00462F45"/>
    <w:rsid w:val="004639D2"/>
    <w:rsid w:val="004C16EB"/>
    <w:rsid w:val="004C47A6"/>
    <w:rsid w:val="004D1C14"/>
    <w:rsid w:val="005160E6"/>
    <w:rsid w:val="00523EEC"/>
    <w:rsid w:val="00543CCF"/>
    <w:rsid w:val="00554028"/>
    <w:rsid w:val="00560C38"/>
    <w:rsid w:val="00575BEF"/>
    <w:rsid w:val="005763E6"/>
    <w:rsid w:val="00593833"/>
    <w:rsid w:val="005D33B4"/>
    <w:rsid w:val="005D59C3"/>
    <w:rsid w:val="00622A3E"/>
    <w:rsid w:val="00632154"/>
    <w:rsid w:val="00660150"/>
    <w:rsid w:val="00660B44"/>
    <w:rsid w:val="006708DE"/>
    <w:rsid w:val="006845D1"/>
    <w:rsid w:val="006937D9"/>
    <w:rsid w:val="00716DDA"/>
    <w:rsid w:val="0071789D"/>
    <w:rsid w:val="007565A1"/>
    <w:rsid w:val="007812B9"/>
    <w:rsid w:val="0078757A"/>
    <w:rsid w:val="00797E5D"/>
    <w:rsid w:val="007A7E2E"/>
    <w:rsid w:val="007C59CF"/>
    <w:rsid w:val="00814CFC"/>
    <w:rsid w:val="00836597"/>
    <w:rsid w:val="008608C5"/>
    <w:rsid w:val="009273FC"/>
    <w:rsid w:val="00932536"/>
    <w:rsid w:val="00940715"/>
    <w:rsid w:val="009412FC"/>
    <w:rsid w:val="00991A75"/>
    <w:rsid w:val="009A3944"/>
    <w:rsid w:val="009A771B"/>
    <w:rsid w:val="009B0191"/>
    <w:rsid w:val="009B25E6"/>
    <w:rsid w:val="009B7E7E"/>
    <w:rsid w:val="009E33BD"/>
    <w:rsid w:val="009F0655"/>
    <w:rsid w:val="009F4E83"/>
    <w:rsid w:val="00A114D2"/>
    <w:rsid w:val="00A5130E"/>
    <w:rsid w:val="00A91A64"/>
    <w:rsid w:val="00A920D3"/>
    <w:rsid w:val="00AA3E9D"/>
    <w:rsid w:val="00AF0BA7"/>
    <w:rsid w:val="00B53816"/>
    <w:rsid w:val="00B615EA"/>
    <w:rsid w:val="00B6360A"/>
    <w:rsid w:val="00B66C8D"/>
    <w:rsid w:val="00B81974"/>
    <w:rsid w:val="00B9064A"/>
    <w:rsid w:val="00BD7D4F"/>
    <w:rsid w:val="00BF0588"/>
    <w:rsid w:val="00C42146"/>
    <w:rsid w:val="00C51105"/>
    <w:rsid w:val="00CC7700"/>
    <w:rsid w:val="00D019C7"/>
    <w:rsid w:val="00D12E86"/>
    <w:rsid w:val="00D32681"/>
    <w:rsid w:val="00D56A02"/>
    <w:rsid w:val="00D85EA0"/>
    <w:rsid w:val="00D86CB1"/>
    <w:rsid w:val="00DC1C61"/>
    <w:rsid w:val="00DF2E2F"/>
    <w:rsid w:val="00E06FB6"/>
    <w:rsid w:val="00E10F68"/>
    <w:rsid w:val="00E227E0"/>
    <w:rsid w:val="00E8024A"/>
    <w:rsid w:val="00EB249F"/>
    <w:rsid w:val="00EE59D9"/>
    <w:rsid w:val="00F05578"/>
    <w:rsid w:val="00F2117E"/>
    <w:rsid w:val="00F33D7C"/>
    <w:rsid w:val="00F34772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22</cp:revision>
  <dcterms:created xsi:type="dcterms:W3CDTF">2024-05-22T09:08:00Z</dcterms:created>
  <dcterms:modified xsi:type="dcterms:W3CDTF">2024-12-05T18:20:00Z</dcterms:modified>
</cp:coreProperties>
</file>